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E66E1" w14:paraId="21C3AB5C" w14:textId="77777777" w:rsidTr="00180FC4">
        <w:tc>
          <w:tcPr>
            <w:tcW w:w="10194" w:type="dxa"/>
            <w:gridSpan w:val="2"/>
          </w:tcPr>
          <w:p w14:paraId="62EC63F5" w14:textId="709CE112" w:rsidR="00AE66E1" w:rsidRPr="00AE66E1" w:rsidRDefault="00E860CA" w:rsidP="00D5726C">
            <w:pPr>
              <w:jc w:val="center"/>
              <w:rPr>
                <w:b/>
                <w:color w:val="002060"/>
              </w:rPr>
            </w:pPr>
            <w:r>
              <w:rPr>
                <w:b/>
                <w:color w:val="002060"/>
              </w:rPr>
              <w:t>Year 4</w:t>
            </w:r>
            <w:r w:rsidR="00D23724">
              <w:rPr>
                <w:b/>
                <w:color w:val="002060"/>
              </w:rPr>
              <w:t xml:space="preserve">: </w:t>
            </w:r>
            <w:r w:rsidR="000E12EB">
              <w:rPr>
                <w:b/>
                <w:color w:val="002060"/>
              </w:rPr>
              <w:t>Dangers to living things</w:t>
            </w:r>
            <w:r w:rsidR="00D23724">
              <w:rPr>
                <w:b/>
                <w:color w:val="002060"/>
              </w:rPr>
              <w:t xml:space="preserve"> </w:t>
            </w:r>
            <w:r w:rsidR="00A92403">
              <w:rPr>
                <w:b/>
                <w:color w:val="002060"/>
              </w:rPr>
              <w:t>(</w:t>
            </w:r>
            <w:r w:rsidR="000C5116">
              <w:rPr>
                <w:b/>
                <w:color w:val="002060"/>
              </w:rPr>
              <w:t xml:space="preserve">Living things and </w:t>
            </w:r>
            <w:r w:rsidR="00D5726C">
              <w:rPr>
                <w:b/>
                <w:color w:val="002060"/>
              </w:rPr>
              <w:t>habitat</w:t>
            </w:r>
            <w:r w:rsidR="000C5116">
              <w:rPr>
                <w:b/>
                <w:color w:val="002060"/>
              </w:rPr>
              <w:t>s</w:t>
            </w:r>
            <w:r w:rsidR="00BB629E">
              <w:rPr>
                <w:b/>
                <w:color w:val="002060"/>
              </w:rPr>
              <w:t xml:space="preserve"> / Animals including humans</w:t>
            </w:r>
            <w:r w:rsidR="00C72773">
              <w:rPr>
                <w:b/>
                <w:color w:val="002060"/>
              </w:rPr>
              <w:t>)</w:t>
            </w:r>
            <w:r w:rsidR="00BB629E">
              <w:rPr>
                <w:b/>
                <w:color w:val="002060"/>
              </w:rPr>
              <w:t xml:space="preserve"> </w:t>
            </w:r>
            <w:r w:rsidR="00E54AC0">
              <w:rPr>
                <w:b/>
                <w:color w:val="002060"/>
              </w:rPr>
              <w:t xml:space="preserve"> </w:t>
            </w:r>
            <w:r w:rsidR="00E54AC0">
              <w:rPr>
                <w:b/>
                <w:color w:val="002060"/>
              </w:rPr>
              <w:t>UPDATED November 2023</w:t>
            </w:r>
          </w:p>
        </w:tc>
      </w:tr>
      <w:tr w:rsidR="00911FFF" w14:paraId="737422ED" w14:textId="77777777" w:rsidTr="00415A8D">
        <w:trPr>
          <w:trHeight w:val="582"/>
        </w:trPr>
        <w:tc>
          <w:tcPr>
            <w:tcW w:w="2122" w:type="dxa"/>
          </w:tcPr>
          <w:p w14:paraId="6A91BDD6" w14:textId="77777777" w:rsidR="00911FFF" w:rsidRPr="00C96E6E" w:rsidRDefault="00911FFF" w:rsidP="00911FFF">
            <w:pPr>
              <w:rPr>
                <w:b/>
                <w:color w:val="002060"/>
              </w:rPr>
            </w:pPr>
            <w:r w:rsidRPr="00C96E6E">
              <w:rPr>
                <w:b/>
                <w:color w:val="002060"/>
              </w:rPr>
              <w:t>Links made with other subjects</w:t>
            </w:r>
          </w:p>
        </w:tc>
        <w:tc>
          <w:tcPr>
            <w:tcW w:w="8072" w:type="dxa"/>
          </w:tcPr>
          <w:p w14:paraId="742CBDA4" w14:textId="77777777" w:rsidR="00911FFF" w:rsidRPr="00631C8D" w:rsidRDefault="00010767" w:rsidP="00261C02">
            <w:r>
              <w:rPr>
                <w:color w:val="002060"/>
              </w:rPr>
              <w:t xml:space="preserve">English – persuasive writing about pollution (plastic or oil) </w:t>
            </w:r>
          </w:p>
        </w:tc>
      </w:tr>
      <w:tr w:rsidR="00911FFF" w14:paraId="69CB321F" w14:textId="77777777" w:rsidTr="002520AD">
        <w:tc>
          <w:tcPr>
            <w:tcW w:w="2122" w:type="dxa"/>
          </w:tcPr>
          <w:p w14:paraId="496CE318" w14:textId="77777777" w:rsidR="00911FFF" w:rsidRPr="00C96E6E" w:rsidRDefault="00911FFF" w:rsidP="00911FFF">
            <w:pPr>
              <w:rPr>
                <w:b/>
                <w:color w:val="002060"/>
              </w:rPr>
            </w:pPr>
            <w:r w:rsidRPr="00C96E6E">
              <w:rPr>
                <w:b/>
                <w:color w:val="002060"/>
              </w:rPr>
              <w:t>The BIG Question</w:t>
            </w:r>
          </w:p>
        </w:tc>
        <w:tc>
          <w:tcPr>
            <w:tcW w:w="8072" w:type="dxa"/>
          </w:tcPr>
          <w:p w14:paraId="7150F971" w14:textId="77777777" w:rsidR="005D4AF1" w:rsidRDefault="00E40D50" w:rsidP="005E382B">
            <w:pPr>
              <w:rPr>
                <w:color w:val="002060"/>
              </w:rPr>
            </w:pPr>
            <w:r w:rsidRPr="00E40D50">
              <w:rPr>
                <w:color w:val="002060"/>
              </w:rPr>
              <w:t xml:space="preserve">Are living things in danger? </w:t>
            </w:r>
          </w:p>
          <w:p w14:paraId="4A7E4934" w14:textId="77777777" w:rsidR="00D23724" w:rsidRDefault="00D23724" w:rsidP="005E382B">
            <w:r w:rsidRPr="00D23724">
              <w:rPr>
                <w:color w:val="002060"/>
              </w:rPr>
              <w:t>What is a food chain?</w:t>
            </w:r>
          </w:p>
        </w:tc>
      </w:tr>
      <w:tr w:rsidR="00911FFF" w14:paraId="3A433AF7" w14:textId="77777777" w:rsidTr="002520AD">
        <w:tc>
          <w:tcPr>
            <w:tcW w:w="2122" w:type="dxa"/>
          </w:tcPr>
          <w:p w14:paraId="334EAE1F" w14:textId="77777777" w:rsidR="00911FFF" w:rsidRPr="00C96E6E" w:rsidRDefault="00C96E6E" w:rsidP="00911FFF">
            <w:pPr>
              <w:rPr>
                <w:b/>
                <w:color w:val="002060"/>
              </w:rPr>
            </w:pPr>
            <w:r w:rsidRPr="00C96E6E">
              <w:rPr>
                <w:b/>
                <w:color w:val="002060"/>
              </w:rPr>
              <w:t>The BIG Outcome</w:t>
            </w:r>
          </w:p>
        </w:tc>
        <w:tc>
          <w:tcPr>
            <w:tcW w:w="8072" w:type="dxa"/>
          </w:tcPr>
          <w:p w14:paraId="6C7AB373" w14:textId="77777777" w:rsidR="000433CF" w:rsidRPr="00AE66E1" w:rsidRDefault="00D23724" w:rsidP="00205840">
            <w:pPr>
              <w:rPr>
                <w:color w:val="002060"/>
              </w:rPr>
            </w:pPr>
            <w:r>
              <w:rPr>
                <w:color w:val="002060"/>
              </w:rPr>
              <w:t xml:space="preserve">Poster / Double page spread </w:t>
            </w:r>
            <w:r w:rsidR="00E40D50">
              <w:rPr>
                <w:color w:val="002060"/>
              </w:rPr>
              <w:t xml:space="preserve">outlining the dangers </w:t>
            </w:r>
            <w:r>
              <w:rPr>
                <w:color w:val="002060"/>
              </w:rPr>
              <w:t xml:space="preserve">to living things </w:t>
            </w:r>
            <w:r w:rsidR="00E40D50">
              <w:rPr>
                <w:color w:val="002060"/>
              </w:rPr>
              <w:t>and what is causing them</w:t>
            </w:r>
            <w:r>
              <w:rPr>
                <w:color w:val="002060"/>
              </w:rPr>
              <w:t xml:space="preserve"> / explaining what a food chain is, with examples. </w:t>
            </w:r>
          </w:p>
        </w:tc>
      </w:tr>
      <w:tr w:rsidR="00D41213" w14:paraId="60D6F622" w14:textId="77777777" w:rsidTr="002520AD">
        <w:tc>
          <w:tcPr>
            <w:tcW w:w="2122" w:type="dxa"/>
          </w:tcPr>
          <w:p w14:paraId="4039D6B2" w14:textId="77777777" w:rsidR="00D41213" w:rsidRPr="00C96E6E" w:rsidRDefault="00255E91" w:rsidP="00D41213">
            <w:pPr>
              <w:rPr>
                <w:b/>
                <w:color w:val="002060"/>
              </w:rPr>
            </w:pPr>
            <w:r>
              <w:rPr>
                <w:b/>
                <w:color w:val="002060"/>
              </w:rPr>
              <w:t>Science</w:t>
            </w:r>
            <w:r w:rsidR="00D41213" w:rsidRPr="00C96E6E">
              <w:rPr>
                <w:b/>
                <w:color w:val="002060"/>
              </w:rPr>
              <w:t xml:space="preserve"> objectives</w:t>
            </w:r>
          </w:p>
          <w:p w14:paraId="05EE30A7" w14:textId="77777777" w:rsidR="00D41213" w:rsidRDefault="00D41213" w:rsidP="00D41213">
            <w:r w:rsidRPr="00DA25A7">
              <w:rPr>
                <w:color w:val="002060"/>
              </w:rPr>
              <w:t xml:space="preserve">(link to NC) </w:t>
            </w:r>
          </w:p>
        </w:tc>
        <w:tc>
          <w:tcPr>
            <w:tcW w:w="8072" w:type="dxa"/>
          </w:tcPr>
          <w:p w14:paraId="1DCD1CCF" w14:textId="77777777" w:rsidR="00B042E6" w:rsidRPr="00C27154" w:rsidRDefault="005031AE" w:rsidP="00C27154">
            <w:pPr>
              <w:rPr>
                <w:color w:val="002060"/>
              </w:rPr>
            </w:pPr>
            <w:r w:rsidRPr="005031AE">
              <w:rPr>
                <w:color w:val="002060"/>
              </w:rPr>
              <w:t xml:space="preserve">- recognise that environments can change and that this can sometimes pose dangers to living things </w:t>
            </w:r>
            <w:r w:rsidRPr="005031AE">
              <w:rPr>
                <w:color w:val="002060"/>
              </w:rPr>
              <w:br/>
              <w:t>- construct and interpret a variety of food chains, identifying producers, predators and prey</w:t>
            </w:r>
          </w:p>
        </w:tc>
      </w:tr>
      <w:tr w:rsidR="00D41213" w14:paraId="78E6B5AD" w14:textId="77777777" w:rsidTr="002520AD">
        <w:tc>
          <w:tcPr>
            <w:tcW w:w="2122" w:type="dxa"/>
          </w:tcPr>
          <w:p w14:paraId="31AD5463" w14:textId="77777777" w:rsidR="00D41213" w:rsidRDefault="00D41213" w:rsidP="00D41213">
            <w:pPr>
              <w:rPr>
                <w:b/>
                <w:color w:val="002060"/>
              </w:rPr>
            </w:pPr>
            <w:r w:rsidRPr="00C96E6E">
              <w:rPr>
                <w:b/>
                <w:color w:val="002060"/>
              </w:rPr>
              <w:t>Prior knowledge</w:t>
            </w:r>
          </w:p>
          <w:p w14:paraId="618B323B" w14:textId="77777777" w:rsidR="00D41213" w:rsidRPr="00DA25A7" w:rsidRDefault="00D41213" w:rsidP="00D41213">
            <w:pPr>
              <w:rPr>
                <w:color w:val="002060"/>
                <w:sz w:val="18"/>
                <w:szCs w:val="18"/>
              </w:rPr>
            </w:pPr>
            <w:r w:rsidRPr="00DA25A7">
              <w:rPr>
                <w:color w:val="002060"/>
                <w:sz w:val="18"/>
                <w:szCs w:val="18"/>
              </w:rPr>
              <w:t xml:space="preserve">What prior knowledge is needed for children to be successful in this unit? </w:t>
            </w:r>
          </w:p>
          <w:p w14:paraId="3412DA3A" w14:textId="77777777" w:rsidR="00D41213" w:rsidRDefault="00D41213" w:rsidP="00D41213">
            <w:r>
              <w:t xml:space="preserve">   </w:t>
            </w:r>
          </w:p>
        </w:tc>
        <w:tc>
          <w:tcPr>
            <w:tcW w:w="8072" w:type="dxa"/>
          </w:tcPr>
          <w:p w14:paraId="524A9FE9" w14:textId="77777777" w:rsidR="00D41213" w:rsidRDefault="00D41213" w:rsidP="00D41213">
            <w:pPr>
              <w:rPr>
                <w:i/>
                <w:color w:val="002060"/>
              </w:rPr>
            </w:pPr>
            <w:r w:rsidRPr="00DA25A7">
              <w:rPr>
                <w:i/>
                <w:color w:val="002060"/>
              </w:rPr>
              <w:t>Children already know:</w:t>
            </w:r>
          </w:p>
          <w:p w14:paraId="13E59A5E" w14:textId="77777777" w:rsidR="00D41213" w:rsidRDefault="00255E91" w:rsidP="00255E91">
            <w:pPr>
              <w:rPr>
                <w:color w:val="002060"/>
              </w:rPr>
            </w:pPr>
            <w:r w:rsidRPr="00DF1966">
              <w:rPr>
                <w:color w:val="002060"/>
              </w:rPr>
              <w:t>EYFS –</w:t>
            </w:r>
            <w:r w:rsidR="00DF1966" w:rsidRPr="00DF1966">
              <w:rPr>
                <w:color w:val="002060"/>
              </w:rPr>
              <w:t xml:space="preserve"> Understanding the world</w:t>
            </w:r>
            <w:r w:rsidR="00415A8D">
              <w:rPr>
                <w:color w:val="002060"/>
              </w:rPr>
              <w:t xml:space="preserve">. </w:t>
            </w:r>
            <w:r w:rsidR="00DF1966" w:rsidRPr="00DF1966">
              <w:rPr>
                <w:color w:val="002060"/>
              </w:rPr>
              <w:t>Children know about similarities and differences in relation to places, objects, materials and living things. They talk about the features of their own immediate environment and how environments might vary from one another. They</w:t>
            </w:r>
            <w:r w:rsidR="00415A8D">
              <w:rPr>
                <w:color w:val="002060"/>
              </w:rPr>
              <w:t xml:space="preserve"> can</w:t>
            </w:r>
            <w:r w:rsidR="00DF1966" w:rsidRPr="00DF1966">
              <w:rPr>
                <w:color w:val="002060"/>
              </w:rPr>
              <w:t xml:space="preserve"> make observations of animals and plants and explain why some things occur</w:t>
            </w:r>
            <w:r w:rsidR="00415A8D">
              <w:rPr>
                <w:color w:val="002060"/>
              </w:rPr>
              <w:t xml:space="preserve">. They can </w:t>
            </w:r>
            <w:r w:rsidR="00DF1966" w:rsidRPr="00DF1966">
              <w:rPr>
                <w:color w:val="002060"/>
              </w:rPr>
              <w:t>talk about changes.</w:t>
            </w:r>
          </w:p>
          <w:p w14:paraId="6A5FD120" w14:textId="77777777" w:rsidR="009230C7" w:rsidRPr="004751A5" w:rsidRDefault="009230C7" w:rsidP="009230C7">
            <w:pPr>
              <w:rPr>
                <w:color w:val="002060"/>
              </w:rPr>
            </w:pPr>
            <w:r>
              <w:rPr>
                <w:color w:val="002060"/>
              </w:rPr>
              <w:t>Yr 2</w:t>
            </w:r>
            <w:r w:rsidRPr="009C0BA9">
              <w:rPr>
                <w:color w:val="002060"/>
              </w:rPr>
              <w:t xml:space="preserve"> </w:t>
            </w:r>
            <w:r>
              <w:rPr>
                <w:color w:val="002060"/>
              </w:rPr>
              <w:t>–</w:t>
            </w:r>
            <w:r>
              <w:rPr>
                <w:b/>
                <w:color w:val="002060"/>
              </w:rPr>
              <w:t xml:space="preserve"> Habitats </w:t>
            </w:r>
            <w:r w:rsidRPr="009C0BA9">
              <w:rPr>
                <w:b/>
                <w:color w:val="002060"/>
              </w:rPr>
              <w:t>(</w:t>
            </w:r>
            <w:r w:rsidR="00415A8D">
              <w:rPr>
                <w:b/>
                <w:color w:val="002060"/>
              </w:rPr>
              <w:t>L</w:t>
            </w:r>
            <w:r>
              <w:rPr>
                <w:b/>
                <w:color w:val="002060"/>
              </w:rPr>
              <w:t>iving things and their habitats</w:t>
            </w:r>
            <w:r w:rsidRPr="009C0BA9">
              <w:rPr>
                <w:b/>
                <w:color w:val="002060"/>
              </w:rPr>
              <w:t>)</w:t>
            </w:r>
          </w:p>
        </w:tc>
      </w:tr>
      <w:tr w:rsidR="00D41213" w14:paraId="3543CE76" w14:textId="77777777" w:rsidTr="002520AD">
        <w:tc>
          <w:tcPr>
            <w:tcW w:w="2122" w:type="dxa"/>
          </w:tcPr>
          <w:p w14:paraId="45D4B41E" w14:textId="77777777" w:rsidR="00D41213" w:rsidRDefault="00D41213" w:rsidP="00D41213">
            <w:pPr>
              <w:rPr>
                <w:b/>
                <w:color w:val="002060"/>
              </w:rPr>
            </w:pPr>
            <w:r w:rsidRPr="00DA25A7">
              <w:rPr>
                <w:b/>
                <w:color w:val="002060"/>
              </w:rPr>
              <w:t>Future learning</w:t>
            </w:r>
          </w:p>
          <w:p w14:paraId="0C0ECFEC" w14:textId="77777777" w:rsidR="00D41213" w:rsidRPr="00DA25A7" w:rsidRDefault="00D41213" w:rsidP="00D41213">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14:paraId="2F4B4F3A" w14:textId="77777777" w:rsidR="00D41213" w:rsidRPr="00980006" w:rsidRDefault="00D41213" w:rsidP="00D41213">
            <w:pPr>
              <w:rPr>
                <w:color w:val="002060"/>
              </w:rPr>
            </w:pPr>
            <w:r w:rsidRPr="00980006">
              <w:rPr>
                <w:color w:val="002060"/>
              </w:rPr>
              <w:t>This unit gives prior knowledge to:</w:t>
            </w:r>
          </w:p>
          <w:p w14:paraId="772B2A46" w14:textId="77777777" w:rsidR="00D66824" w:rsidRPr="00C72773" w:rsidRDefault="00D66824" w:rsidP="00D66824">
            <w:pPr>
              <w:rPr>
                <w:color w:val="002060"/>
              </w:rPr>
            </w:pPr>
            <w:r>
              <w:rPr>
                <w:color w:val="002060"/>
              </w:rPr>
              <w:t xml:space="preserve">Yr 6 – </w:t>
            </w:r>
            <w:r w:rsidR="009230C7">
              <w:rPr>
                <w:b/>
                <w:color w:val="002060"/>
              </w:rPr>
              <w:t>Classifying living things</w:t>
            </w:r>
            <w:r w:rsidR="009230C7" w:rsidRPr="009C0BA9">
              <w:rPr>
                <w:b/>
                <w:color w:val="002060"/>
              </w:rPr>
              <w:t xml:space="preserve"> (</w:t>
            </w:r>
            <w:r w:rsidR="00415A8D">
              <w:rPr>
                <w:b/>
                <w:color w:val="002060"/>
              </w:rPr>
              <w:t>L</w:t>
            </w:r>
            <w:r w:rsidR="009230C7">
              <w:rPr>
                <w:b/>
                <w:color w:val="002060"/>
              </w:rPr>
              <w:t>iving things and their habitats</w:t>
            </w:r>
            <w:r w:rsidR="009230C7" w:rsidRPr="009C0BA9">
              <w:rPr>
                <w:b/>
                <w:color w:val="002060"/>
              </w:rPr>
              <w:t>)</w:t>
            </w:r>
          </w:p>
          <w:p w14:paraId="4E01C733" w14:textId="77777777" w:rsidR="00D41213" w:rsidRPr="00C72773" w:rsidRDefault="00D41213" w:rsidP="00C72773">
            <w:pPr>
              <w:rPr>
                <w:color w:val="002060"/>
              </w:rPr>
            </w:pPr>
          </w:p>
        </w:tc>
      </w:tr>
      <w:tr w:rsidR="00D41213" w14:paraId="39E0CB26" w14:textId="77777777" w:rsidTr="002520AD">
        <w:tc>
          <w:tcPr>
            <w:tcW w:w="2122" w:type="dxa"/>
          </w:tcPr>
          <w:p w14:paraId="05546408" w14:textId="77777777" w:rsidR="00D41213" w:rsidRPr="00DA25A7" w:rsidRDefault="00B26B8E" w:rsidP="00D41213">
            <w:pPr>
              <w:rPr>
                <w:b/>
                <w:color w:val="002060"/>
              </w:rPr>
            </w:pPr>
            <w:r>
              <w:rPr>
                <w:b/>
                <w:color w:val="002060"/>
              </w:rPr>
              <w:t xml:space="preserve">Science </w:t>
            </w:r>
            <w:r w:rsidR="00D41213">
              <w:rPr>
                <w:b/>
                <w:color w:val="002060"/>
              </w:rPr>
              <w:t>strands</w:t>
            </w:r>
          </w:p>
        </w:tc>
        <w:tc>
          <w:tcPr>
            <w:tcW w:w="8072" w:type="dxa"/>
          </w:tcPr>
          <w:p w14:paraId="118E2E3F" w14:textId="77777777" w:rsidR="005E70B5" w:rsidRPr="005031AE" w:rsidRDefault="00B26B8E" w:rsidP="005E70B5">
            <w:pPr>
              <w:rPr>
                <w:color w:val="002060"/>
                <w:u w:val="single"/>
              </w:rPr>
            </w:pPr>
            <w:r w:rsidRPr="005031AE">
              <w:rPr>
                <w:color w:val="002060"/>
                <w:u w:val="single"/>
              </w:rPr>
              <w:t xml:space="preserve">Related Enquiry Questions </w:t>
            </w:r>
          </w:p>
          <w:tbl>
            <w:tblPr>
              <w:tblStyle w:val="TableGrid"/>
              <w:tblW w:w="0" w:type="auto"/>
              <w:tblLook w:val="04A0" w:firstRow="1" w:lastRow="0" w:firstColumn="1" w:lastColumn="0" w:noHBand="0" w:noVBand="1"/>
            </w:tblPr>
            <w:tblGrid>
              <w:gridCol w:w="7688"/>
            </w:tblGrid>
            <w:tr w:rsidR="005031AE" w:rsidRPr="005031AE" w14:paraId="5029BB88" w14:textId="77777777" w:rsidTr="001803D4">
              <w:trPr>
                <w:trHeight w:val="231"/>
              </w:trPr>
              <w:tc>
                <w:tcPr>
                  <w:tcW w:w="7688" w:type="dxa"/>
                </w:tcPr>
                <w:p w14:paraId="1690E83A" w14:textId="77777777" w:rsidR="00B26B8E" w:rsidRPr="005031AE" w:rsidRDefault="00B26B8E" w:rsidP="00E54AC0">
                  <w:pPr>
                    <w:framePr w:hSpace="180" w:wrap="around" w:hAnchor="margin" w:y="884"/>
                    <w:rPr>
                      <w:b/>
                      <w:color w:val="002060"/>
                    </w:rPr>
                  </w:pPr>
                  <w:r w:rsidRPr="005031AE">
                    <w:rPr>
                      <w:b/>
                      <w:color w:val="002060"/>
                    </w:rPr>
                    <w:t xml:space="preserve">Classifying </w:t>
                  </w:r>
                </w:p>
              </w:tc>
            </w:tr>
            <w:tr w:rsidR="005031AE" w:rsidRPr="005031AE" w14:paraId="2A671CEE" w14:textId="77777777" w:rsidTr="001803D4">
              <w:trPr>
                <w:trHeight w:val="231"/>
              </w:trPr>
              <w:tc>
                <w:tcPr>
                  <w:tcW w:w="7688" w:type="dxa"/>
                </w:tcPr>
                <w:p w14:paraId="6C0C2EAA" w14:textId="77777777" w:rsidR="00B26B8E" w:rsidRPr="005031AE" w:rsidRDefault="005031AE" w:rsidP="00E54AC0">
                  <w:pPr>
                    <w:framePr w:hSpace="180" w:wrap="around" w:hAnchor="margin" w:y="884"/>
                    <w:rPr>
                      <w:color w:val="002060"/>
                    </w:rPr>
                  </w:pPr>
                  <w:r w:rsidRPr="005031AE">
                    <w:rPr>
                      <w:color w:val="002060"/>
                    </w:rPr>
                    <w:t>Not relevant</w:t>
                  </w:r>
                </w:p>
              </w:tc>
            </w:tr>
            <w:tr w:rsidR="005031AE" w:rsidRPr="005031AE" w14:paraId="7BF1A2A9" w14:textId="77777777" w:rsidTr="001803D4">
              <w:trPr>
                <w:trHeight w:val="218"/>
              </w:trPr>
              <w:tc>
                <w:tcPr>
                  <w:tcW w:w="7688" w:type="dxa"/>
                </w:tcPr>
                <w:p w14:paraId="50CDA2F6" w14:textId="77777777" w:rsidR="00B26B8E" w:rsidRPr="005031AE" w:rsidRDefault="00B26B8E" w:rsidP="00E54AC0">
                  <w:pPr>
                    <w:framePr w:hSpace="180" w:wrap="around" w:hAnchor="margin" w:y="884"/>
                    <w:rPr>
                      <w:b/>
                      <w:color w:val="002060"/>
                    </w:rPr>
                  </w:pPr>
                  <w:r w:rsidRPr="005031AE">
                    <w:rPr>
                      <w:b/>
                      <w:color w:val="002060"/>
                    </w:rPr>
                    <w:t xml:space="preserve">Observing over time </w:t>
                  </w:r>
                </w:p>
              </w:tc>
            </w:tr>
            <w:tr w:rsidR="005031AE" w:rsidRPr="005031AE" w14:paraId="3C551116" w14:textId="77777777" w:rsidTr="001803D4">
              <w:trPr>
                <w:trHeight w:val="218"/>
              </w:trPr>
              <w:tc>
                <w:tcPr>
                  <w:tcW w:w="7688" w:type="dxa"/>
                </w:tcPr>
                <w:p w14:paraId="7FFA31CA" w14:textId="77777777" w:rsidR="00B26B8E" w:rsidRPr="005031AE" w:rsidRDefault="00D25905" w:rsidP="00E54AC0">
                  <w:pPr>
                    <w:framePr w:hSpace="180" w:wrap="around" w:hAnchor="margin" w:y="884"/>
                    <w:rPr>
                      <w:color w:val="002060"/>
                    </w:rPr>
                  </w:pPr>
                  <w:r w:rsidRPr="005031AE">
                    <w:rPr>
                      <w:color w:val="002060"/>
                    </w:rPr>
                    <w:t>-</w:t>
                  </w:r>
                  <w:r w:rsidR="005031AE" w:rsidRPr="005031AE">
                    <w:rPr>
                      <w:color w:val="002060"/>
                    </w:rPr>
                    <w:t xml:space="preserve"> Observe living things in their local environment at different times of the year</w:t>
                  </w:r>
                </w:p>
              </w:tc>
            </w:tr>
            <w:tr w:rsidR="005031AE" w:rsidRPr="005031AE" w14:paraId="31C57CB5" w14:textId="77777777" w:rsidTr="001803D4">
              <w:trPr>
                <w:trHeight w:val="231"/>
              </w:trPr>
              <w:tc>
                <w:tcPr>
                  <w:tcW w:w="7688" w:type="dxa"/>
                </w:tcPr>
                <w:p w14:paraId="267D58D4" w14:textId="77777777" w:rsidR="00B26B8E" w:rsidRPr="005031AE" w:rsidRDefault="00B26B8E" w:rsidP="00E54AC0">
                  <w:pPr>
                    <w:framePr w:hSpace="180" w:wrap="around" w:hAnchor="margin" w:y="884"/>
                    <w:rPr>
                      <w:b/>
                      <w:color w:val="002060"/>
                    </w:rPr>
                  </w:pPr>
                  <w:r w:rsidRPr="005031AE">
                    <w:rPr>
                      <w:b/>
                      <w:color w:val="002060"/>
                    </w:rPr>
                    <w:t xml:space="preserve">Pattern Seeking </w:t>
                  </w:r>
                </w:p>
              </w:tc>
            </w:tr>
            <w:tr w:rsidR="005031AE" w:rsidRPr="005031AE" w14:paraId="48BE51FB" w14:textId="77777777" w:rsidTr="001803D4">
              <w:trPr>
                <w:trHeight w:val="231"/>
              </w:trPr>
              <w:tc>
                <w:tcPr>
                  <w:tcW w:w="7688" w:type="dxa"/>
                </w:tcPr>
                <w:p w14:paraId="004DEE5F" w14:textId="77777777" w:rsidR="00B26B8E" w:rsidRPr="005031AE" w:rsidRDefault="005031AE" w:rsidP="00E54AC0">
                  <w:pPr>
                    <w:framePr w:hSpace="180" w:wrap="around" w:hAnchor="margin" w:y="884"/>
                    <w:rPr>
                      <w:color w:val="002060"/>
                    </w:rPr>
                  </w:pPr>
                  <w:r w:rsidRPr="005031AE">
                    <w:rPr>
                      <w:color w:val="002060"/>
                    </w:rPr>
                    <w:t>Not relevant</w:t>
                  </w:r>
                </w:p>
              </w:tc>
            </w:tr>
            <w:tr w:rsidR="005031AE" w:rsidRPr="005031AE" w14:paraId="09F1071A" w14:textId="77777777" w:rsidTr="001803D4">
              <w:trPr>
                <w:trHeight w:val="218"/>
              </w:trPr>
              <w:tc>
                <w:tcPr>
                  <w:tcW w:w="7688" w:type="dxa"/>
                </w:tcPr>
                <w:p w14:paraId="485BEF1D" w14:textId="77777777" w:rsidR="00B26B8E" w:rsidRPr="005031AE" w:rsidRDefault="00B26B8E" w:rsidP="00E54AC0">
                  <w:pPr>
                    <w:framePr w:hSpace="180" w:wrap="around" w:hAnchor="margin" w:y="884"/>
                    <w:rPr>
                      <w:b/>
                      <w:color w:val="002060"/>
                    </w:rPr>
                  </w:pPr>
                  <w:r w:rsidRPr="005031AE">
                    <w:rPr>
                      <w:b/>
                      <w:color w:val="002060"/>
                    </w:rPr>
                    <w:t xml:space="preserve">Comparative testing </w:t>
                  </w:r>
                </w:p>
              </w:tc>
            </w:tr>
            <w:tr w:rsidR="005031AE" w:rsidRPr="005031AE" w14:paraId="5FFD28BC" w14:textId="77777777" w:rsidTr="001803D4">
              <w:trPr>
                <w:trHeight w:val="218"/>
              </w:trPr>
              <w:tc>
                <w:tcPr>
                  <w:tcW w:w="7688" w:type="dxa"/>
                </w:tcPr>
                <w:p w14:paraId="7EAA2292" w14:textId="77777777" w:rsidR="00B26B8E" w:rsidRPr="005031AE" w:rsidRDefault="00D25905" w:rsidP="00E54AC0">
                  <w:pPr>
                    <w:framePr w:hSpace="180" w:wrap="around" w:hAnchor="margin" w:y="884"/>
                    <w:rPr>
                      <w:color w:val="002060"/>
                    </w:rPr>
                  </w:pPr>
                  <w:r w:rsidRPr="005031AE">
                    <w:rPr>
                      <w:color w:val="002060"/>
                    </w:rPr>
                    <w:t xml:space="preserve">Not relevant </w:t>
                  </w:r>
                </w:p>
              </w:tc>
            </w:tr>
            <w:tr w:rsidR="005031AE" w:rsidRPr="005031AE" w14:paraId="2BB6AB90" w14:textId="77777777" w:rsidTr="001803D4">
              <w:trPr>
                <w:trHeight w:val="231"/>
              </w:trPr>
              <w:tc>
                <w:tcPr>
                  <w:tcW w:w="7688" w:type="dxa"/>
                </w:tcPr>
                <w:p w14:paraId="0E108B24" w14:textId="77777777" w:rsidR="00B26B8E" w:rsidRPr="005031AE" w:rsidRDefault="00B26B8E" w:rsidP="00E54AC0">
                  <w:pPr>
                    <w:framePr w:hSpace="180" w:wrap="around" w:hAnchor="margin" w:y="884"/>
                    <w:rPr>
                      <w:b/>
                      <w:color w:val="002060"/>
                    </w:rPr>
                  </w:pPr>
                  <w:r w:rsidRPr="005031AE">
                    <w:rPr>
                      <w:b/>
                      <w:color w:val="002060"/>
                    </w:rPr>
                    <w:t xml:space="preserve">Researching </w:t>
                  </w:r>
                </w:p>
              </w:tc>
            </w:tr>
            <w:tr w:rsidR="005031AE" w:rsidRPr="005031AE" w14:paraId="5277D22C" w14:textId="77777777" w:rsidTr="001803D4">
              <w:trPr>
                <w:trHeight w:val="231"/>
              </w:trPr>
              <w:tc>
                <w:tcPr>
                  <w:tcW w:w="7688" w:type="dxa"/>
                </w:tcPr>
                <w:p w14:paraId="19E071BB" w14:textId="77777777" w:rsidR="00B26B8E" w:rsidRPr="005031AE" w:rsidRDefault="001803D4" w:rsidP="00E54AC0">
                  <w:pPr>
                    <w:framePr w:hSpace="180" w:wrap="around" w:hAnchor="margin" w:y="884"/>
                    <w:rPr>
                      <w:color w:val="002060"/>
                    </w:rPr>
                  </w:pPr>
                  <w:r w:rsidRPr="005031AE">
                    <w:rPr>
                      <w:color w:val="002060"/>
                    </w:rPr>
                    <w:t xml:space="preserve">- </w:t>
                  </w:r>
                  <w:r w:rsidR="005031AE" w:rsidRPr="005031AE">
                    <w:rPr>
                      <w:color w:val="002060"/>
                    </w:rPr>
                    <w:t>Research global environmental issues and their impact on living things.</w:t>
                  </w:r>
                </w:p>
              </w:tc>
            </w:tr>
          </w:tbl>
          <w:p w14:paraId="59C6C783" w14:textId="77777777" w:rsidR="00B26B8E" w:rsidRPr="005031AE" w:rsidRDefault="00B26B8E" w:rsidP="00B26B8E">
            <w:pPr>
              <w:rPr>
                <w:color w:val="002060"/>
              </w:rPr>
            </w:pPr>
          </w:p>
        </w:tc>
      </w:tr>
      <w:tr w:rsidR="00D41213" w14:paraId="1708C887" w14:textId="77777777" w:rsidTr="002520AD">
        <w:tc>
          <w:tcPr>
            <w:tcW w:w="2122" w:type="dxa"/>
          </w:tcPr>
          <w:p w14:paraId="7FDE537B" w14:textId="77777777" w:rsidR="00D41213" w:rsidRPr="00DA25A7" w:rsidRDefault="00D41213" w:rsidP="00D41213">
            <w:pPr>
              <w:rPr>
                <w:b/>
              </w:rPr>
            </w:pPr>
            <w:r w:rsidRPr="00DA25A7">
              <w:rPr>
                <w:b/>
                <w:color w:val="002060"/>
              </w:rPr>
              <w:t>Vocabulary/ Glossary</w:t>
            </w:r>
          </w:p>
        </w:tc>
        <w:tc>
          <w:tcPr>
            <w:tcW w:w="8072" w:type="dxa"/>
          </w:tcPr>
          <w:p w14:paraId="0F359E5B" w14:textId="77777777" w:rsidR="005031AE" w:rsidRPr="005031AE" w:rsidRDefault="005031AE" w:rsidP="0056541C">
            <w:pPr>
              <w:rPr>
                <w:color w:val="002060"/>
              </w:rPr>
            </w:pPr>
            <w:r w:rsidRPr="005031AE">
              <w:rPr>
                <w:color w:val="002060"/>
              </w:rPr>
              <w:t>environment, habitat, human impact, positive, negative, migrate, hibernate</w:t>
            </w:r>
            <w:r w:rsidR="00415A8D">
              <w:rPr>
                <w:color w:val="002060"/>
              </w:rPr>
              <w:t xml:space="preserve">, </w:t>
            </w:r>
            <w:r w:rsidRPr="005031AE">
              <w:rPr>
                <w:color w:val="002060"/>
              </w:rPr>
              <w:t xml:space="preserve">herbivore, carnivore, omnivore, producer, predator, prey, food chain </w:t>
            </w:r>
          </w:p>
        </w:tc>
      </w:tr>
      <w:tr w:rsidR="00D41213" w14:paraId="20C54112" w14:textId="77777777" w:rsidTr="002520AD">
        <w:tc>
          <w:tcPr>
            <w:tcW w:w="2122" w:type="dxa"/>
          </w:tcPr>
          <w:p w14:paraId="470190C0" w14:textId="77777777" w:rsidR="00D41213" w:rsidRPr="002520AD" w:rsidRDefault="00D41213" w:rsidP="00D41213">
            <w:pPr>
              <w:rPr>
                <w:b/>
                <w:color w:val="002060"/>
              </w:rPr>
            </w:pPr>
            <w:r w:rsidRPr="002520AD">
              <w:rPr>
                <w:b/>
                <w:color w:val="002060"/>
              </w:rPr>
              <w:t>Knowledge</w:t>
            </w:r>
          </w:p>
          <w:p w14:paraId="221AE7F3" w14:textId="77777777" w:rsidR="00D41213" w:rsidRPr="002520AD" w:rsidRDefault="00D41213" w:rsidP="00D41213">
            <w:pPr>
              <w:rPr>
                <w:color w:val="002060"/>
                <w:sz w:val="18"/>
                <w:szCs w:val="18"/>
              </w:rPr>
            </w:pPr>
            <w:r w:rsidRPr="002520AD">
              <w:rPr>
                <w:color w:val="002060"/>
                <w:sz w:val="18"/>
                <w:szCs w:val="18"/>
              </w:rPr>
              <w:t xml:space="preserve"> (see italics for knowledge to remember)</w:t>
            </w:r>
          </w:p>
          <w:p w14:paraId="7D4112B7" w14:textId="77777777" w:rsidR="00D41213" w:rsidRDefault="00D41213" w:rsidP="00D41213"/>
        </w:tc>
        <w:tc>
          <w:tcPr>
            <w:tcW w:w="8072" w:type="dxa"/>
          </w:tcPr>
          <w:p w14:paraId="4477F496" w14:textId="77777777" w:rsidR="001803D4" w:rsidRPr="00DD610C" w:rsidRDefault="00D41213" w:rsidP="00D41213">
            <w:pPr>
              <w:rPr>
                <w:color w:val="002060"/>
              </w:rPr>
            </w:pPr>
            <w:r w:rsidRPr="00DD610C">
              <w:rPr>
                <w:color w:val="002060"/>
              </w:rPr>
              <w:t>The knowledge that children will learn and remember:</w:t>
            </w:r>
          </w:p>
          <w:p w14:paraId="48EEECF1" w14:textId="77777777" w:rsidR="005031AE" w:rsidRPr="005031AE" w:rsidRDefault="005031AE" w:rsidP="005031AE">
            <w:pPr>
              <w:pStyle w:val="ListParagraph"/>
              <w:numPr>
                <w:ilvl w:val="0"/>
                <w:numId w:val="14"/>
              </w:numPr>
              <w:rPr>
                <w:i/>
                <w:color w:val="002060"/>
              </w:rPr>
            </w:pPr>
            <w:r w:rsidRPr="005031AE">
              <w:rPr>
                <w:i/>
                <w:color w:val="002060"/>
              </w:rPr>
              <w:t>Living things live in a habitat which provides an environment to which they are suited (Year 2 learning).</w:t>
            </w:r>
          </w:p>
          <w:p w14:paraId="1104BA36" w14:textId="77777777" w:rsidR="005031AE" w:rsidRPr="005031AE" w:rsidRDefault="005031AE" w:rsidP="005031AE">
            <w:pPr>
              <w:pStyle w:val="ListParagraph"/>
              <w:numPr>
                <w:ilvl w:val="0"/>
                <w:numId w:val="14"/>
              </w:numPr>
              <w:rPr>
                <w:i/>
                <w:color w:val="002060"/>
              </w:rPr>
            </w:pPr>
            <w:r w:rsidRPr="005031AE">
              <w:rPr>
                <w:i/>
                <w:color w:val="002060"/>
              </w:rPr>
              <w:t>These environments may change naturally e.g. through flooding</w:t>
            </w:r>
            <w:r>
              <w:rPr>
                <w:i/>
                <w:color w:val="002060"/>
              </w:rPr>
              <w:t xml:space="preserve"> </w:t>
            </w:r>
            <w:r>
              <w:rPr>
                <w:color w:val="002060"/>
              </w:rPr>
              <w:t xml:space="preserve">(Examples in Bradford or Yorkshire </w:t>
            </w:r>
            <w:r>
              <w:t xml:space="preserve"> </w:t>
            </w:r>
            <w:hyperlink r:id="rId7" w:history="1">
              <w:r w:rsidRPr="00BF76F9">
                <w:rPr>
                  <w:rStyle w:val="Hyperlink"/>
                </w:rPr>
                <w:t>https://www.thetelegraphandargus.co.uk/news/19374454.15-000-new-trees-keighley-reduce-river-aire-flood-risk/</w:t>
              </w:r>
            </w:hyperlink>
            <w:r>
              <w:rPr>
                <w:color w:val="002060"/>
              </w:rPr>
              <w:t xml:space="preserve"> ) </w:t>
            </w:r>
            <w:r w:rsidRPr="005031AE">
              <w:rPr>
                <w:i/>
                <w:color w:val="002060"/>
              </w:rPr>
              <w:t>, fire, earthquakes</w:t>
            </w:r>
            <w:r>
              <w:rPr>
                <w:i/>
                <w:color w:val="002060"/>
              </w:rPr>
              <w:t xml:space="preserve"> (California) </w:t>
            </w:r>
            <w:r w:rsidRPr="005031AE">
              <w:rPr>
                <w:i/>
                <w:color w:val="002060"/>
              </w:rPr>
              <w:t xml:space="preserve"> etc. </w:t>
            </w:r>
          </w:p>
          <w:p w14:paraId="7D68693A" w14:textId="77777777" w:rsidR="005031AE" w:rsidRPr="00415A8D" w:rsidRDefault="005031AE" w:rsidP="00415A8D">
            <w:pPr>
              <w:pStyle w:val="ListParagraph"/>
              <w:numPr>
                <w:ilvl w:val="0"/>
                <w:numId w:val="14"/>
              </w:numPr>
              <w:rPr>
                <w:i/>
                <w:color w:val="002060"/>
              </w:rPr>
            </w:pPr>
            <w:r w:rsidRPr="005031AE">
              <w:rPr>
                <w:i/>
                <w:color w:val="002060"/>
              </w:rPr>
              <w:t xml:space="preserve">Humans also cause the environment to change. This can be in a good way (i.e. positive human impact, such as setting up nature reserves) </w:t>
            </w:r>
            <w:r>
              <w:rPr>
                <w:color w:val="002060"/>
              </w:rPr>
              <w:t>(above link planting trees)</w:t>
            </w:r>
            <w:r w:rsidR="00415A8D">
              <w:rPr>
                <w:color w:val="002060"/>
              </w:rPr>
              <w:t xml:space="preserve"> OR c</w:t>
            </w:r>
            <w:r w:rsidRPr="00415A8D">
              <w:rPr>
                <w:i/>
                <w:color w:val="002060"/>
              </w:rPr>
              <w:t xml:space="preserve">an change in a bad way (i.e. negative human impact, such as littering). </w:t>
            </w:r>
            <w:r w:rsidRPr="00415A8D">
              <w:rPr>
                <w:color w:val="002060"/>
              </w:rPr>
              <w:t>Building in local area on flood plain or globally deforestation</w:t>
            </w:r>
            <w:r w:rsidR="00415A8D">
              <w:rPr>
                <w:color w:val="002060"/>
              </w:rPr>
              <w:t xml:space="preserve"> are good examples for discussion. </w:t>
            </w:r>
          </w:p>
          <w:p w14:paraId="2999DE71" w14:textId="77777777" w:rsidR="005031AE" w:rsidRPr="005031AE" w:rsidRDefault="005031AE" w:rsidP="005031AE">
            <w:pPr>
              <w:pStyle w:val="ListParagraph"/>
              <w:numPr>
                <w:ilvl w:val="0"/>
                <w:numId w:val="14"/>
              </w:numPr>
              <w:rPr>
                <w:i/>
                <w:color w:val="002060"/>
              </w:rPr>
            </w:pPr>
            <w:r w:rsidRPr="005031AE">
              <w:rPr>
                <w:i/>
                <w:color w:val="002060"/>
              </w:rPr>
              <w:lastRenderedPageBreak/>
              <w:t>These environments also change with the seasons; different living things can be found in a habitat at different times of the year.</w:t>
            </w:r>
          </w:p>
          <w:p w14:paraId="0EF75F02" w14:textId="77777777" w:rsidR="005031AE" w:rsidRDefault="005031AE" w:rsidP="005031AE">
            <w:pPr>
              <w:pStyle w:val="ListParagraph"/>
              <w:numPr>
                <w:ilvl w:val="0"/>
                <w:numId w:val="14"/>
              </w:numPr>
              <w:rPr>
                <w:i/>
                <w:color w:val="002060"/>
              </w:rPr>
            </w:pPr>
            <w:r w:rsidRPr="005031AE">
              <w:rPr>
                <w:i/>
                <w:color w:val="002060"/>
              </w:rPr>
              <w:t>Living things can be classified as producers, predators and prey according to their place in the food chain.</w:t>
            </w:r>
          </w:p>
          <w:p w14:paraId="43048DEB" w14:textId="77777777" w:rsidR="00AA2D6F" w:rsidRPr="00415A8D" w:rsidRDefault="00A07B66" w:rsidP="00415A8D">
            <w:pPr>
              <w:pStyle w:val="ListParagraph"/>
              <w:numPr>
                <w:ilvl w:val="0"/>
                <w:numId w:val="14"/>
              </w:numPr>
              <w:rPr>
                <w:i/>
                <w:color w:val="002060"/>
              </w:rPr>
            </w:pPr>
            <w:r>
              <w:rPr>
                <w:i/>
                <w:color w:val="002060"/>
              </w:rPr>
              <w:t xml:space="preserve">To know an example of a food chain </w:t>
            </w:r>
            <w:r w:rsidR="00415A8D">
              <w:rPr>
                <w:i/>
                <w:color w:val="002060"/>
              </w:rPr>
              <w:t>involving</w:t>
            </w:r>
            <w:r>
              <w:rPr>
                <w:i/>
                <w:color w:val="002060"/>
              </w:rPr>
              <w:t xml:space="preserve"> 3 or 4 animals</w:t>
            </w:r>
            <w:r w:rsidR="00415A8D">
              <w:rPr>
                <w:i/>
                <w:color w:val="002060"/>
              </w:rPr>
              <w:t xml:space="preserve">. </w:t>
            </w:r>
          </w:p>
        </w:tc>
      </w:tr>
      <w:tr w:rsidR="00D41213" w14:paraId="198D94AE" w14:textId="77777777" w:rsidTr="002520AD">
        <w:tc>
          <w:tcPr>
            <w:tcW w:w="2122" w:type="dxa"/>
          </w:tcPr>
          <w:p w14:paraId="4A5E1B11" w14:textId="77777777" w:rsidR="00D41213" w:rsidRPr="002520AD" w:rsidRDefault="00D41213" w:rsidP="00D41213">
            <w:pPr>
              <w:rPr>
                <w:b/>
                <w:color w:val="002060"/>
              </w:rPr>
            </w:pPr>
            <w:r>
              <w:rPr>
                <w:b/>
                <w:color w:val="002060"/>
              </w:rPr>
              <w:lastRenderedPageBreak/>
              <w:t>SEND expectations</w:t>
            </w:r>
          </w:p>
        </w:tc>
        <w:tc>
          <w:tcPr>
            <w:tcW w:w="8072" w:type="dxa"/>
          </w:tcPr>
          <w:p w14:paraId="1741389D" w14:textId="77777777" w:rsidR="00AD00CE" w:rsidRPr="00AD00CE" w:rsidRDefault="00AD00CE" w:rsidP="00712A87">
            <w:pPr>
              <w:pStyle w:val="ListParagraph"/>
              <w:numPr>
                <w:ilvl w:val="0"/>
                <w:numId w:val="6"/>
              </w:numPr>
              <w:rPr>
                <w:i/>
                <w:color w:val="002060"/>
              </w:rPr>
            </w:pPr>
            <w:r w:rsidRPr="00AD00CE">
              <w:rPr>
                <w:i/>
                <w:color w:val="002060"/>
              </w:rPr>
              <w:t>Living things live in a habitat which provides an enviro</w:t>
            </w:r>
            <w:r>
              <w:rPr>
                <w:i/>
                <w:color w:val="002060"/>
              </w:rPr>
              <w:t>nment to which they are suited and they can change on their own</w:t>
            </w:r>
            <w:r w:rsidR="00415A8D">
              <w:rPr>
                <w:i/>
                <w:color w:val="002060"/>
              </w:rPr>
              <w:t xml:space="preserve">. </w:t>
            </w:r>
          </w:p>
          <w:p w14:paraId="3C25A5EB" w14:textId="77777777" w:rsidR="00AD00CE" w:rsidRPr="005031AE" w:rsidRDefault="00AD00CE" w:rsidP="00AD00CE">
            <w:pPr>
              <w:pStyle w:val="ListParagraph"/>
              <w:numPr>
                <w:ilvl w:val="0"/>
                <w:numId w:val="6"/>
              </w:numPr>
              <w:rPr>
                <w:i/>
                <w:color w:val="002060"/>
              </w:rPr>
            </w:pPr>
            <w:r w:rsidRPr="005031AE">
              <w:rPr>
                <w:i/>
                <w:color w:val="002060"/>
              </w:rPr>
              <w:t>Humans also cause the environment to change</w:t>
            </w:r>
            <w:r w:rsidR="00A07B66">
              <w:rPr>
                <w:i/>
                <w:color w:val="002060"/>
              </w:rPr>
              <w:t xml:space="preserve"> both good and bad</w:t>
            </w:r>
            <w:r w:rsidRPr="005031AE">
              <w:rPr>
                <w:i/>
                <w:color w:val="002060"/>
              </w:rPr>
              <w:t xml:space="preserve">. </w:t>
            </w:r>
          </w:p>
          <w:p w14:paraId="0B5AFBC5" w14:textId="77777777" w:rsidR="00AD00CE" w:rsidRPr="005031AE" w:rsidRDefault="00AD00CE" w:rsidP="00AD00CE">
            <w:pPr>
              <w:pStyle w:val="ListParagraph"/>
              <w:numPr>
                <w:ilvl w:val="0"/>
                <w:numId w:val="6"/>
              </w:numPr>
              <w:rPr>
                <w:i/>
                <w:color w:val="002060"/>
              </w:rPr>
            </w:pPr>
            <w:r w:rsidRPr="005031AE">
              <w:rPr>
                <w:i/>
                <w:color w:val="002060"/>
              </w:rPr>
              <w:t>These environments also change with the seasons; different living things can be found in a habitat at different times of the year.</w:t>
            </w:r>
          </w:p>
          <w:p w14:paraId="3C796E69" w14:textId="77777777" w:rsidR="00DD610C" w:rsidRPr="00415A8D" w:rsidRDefault="00AD00CE" w:rsidP="00AD00CE">
            <w:pPr>
              <w:pStyle w:val="ListParagraph"/>
              <w:numPr>
                <w:ilvl w:val="0"/>
                <w:numId w:val="6"/>
              </w:numPr>
              <w:rPr>
                <w:i/>
                <w:color w:val="002060"/>
              </w:rPr>
            </w:pPr>
            <w:r w:rsidRPr="005031AE">
              <w:rPr>
                <w:i/>
                <w:color w:val="002060"/>
              </w:rPr>
              <w:t xml:space="preserve"> Living things can be classified as producers, predators and prey according to their place in the food chain.</w:t>
            </w:r>
          </w:p>
        </w:tc>
      </w:tr>
      <w:tr w:rsidR="00317E0C" w14:paraId="26E08E75" w14:textId="77777777" w:rsidTr="00415A8D">
        <w:tc>
          <w:tcPr>
            <w:tcW w:w="2122" w:type="dxa"/>
            <w:tcBorders>
              <w:top w:val="single" w:sz="4" w:space="0" w:color="002060"/>
              <w:left w:val="single" w:sz="4" w:space="0" w:color="002060"/>
              <w:bottom w:val="single" w:sz="4" w:space="0" w:color="002060"/>
              <w:right w:val="single" w:sz="4" w:space="0" w:color="002060"/>
            </w:tcBorders>
            <w:hideMark/>
          </w:tcPr>
          <w:p w14:paraId="678D8537" w14:textId="77777777" w:rsidR="00317E0C" w:rsidRDefault="00317E0C">
            <w:pPr>
              <w:rPr>
                <w:b/>
                <w:color w:val="002060"/>
              </w:rPr>
            </w:pPr>
            <w:r>
              <w:rPr>
                <w:b/>
                <w:color w:val="002060"/>
              </w:rPr>
              <w:t xml:space="preserve">Common misconceptions </w:t>
            </w:r>
          </w:p>
        </w:tc>
        <w:tc>
          <w:tcPr>
            <w:tcW w:w="8072" w:type="dxa"/>
            <w:tcBorders>
              <w:top w:val="single" w:sz="4" w:space="0" w:color="002060"/>
              <w:left w:val="single" w:sz="4" w:space="0" w:color="002060"/>
              <w:bottom w:val="single" w:sz="4" w:space="0" w:color="002060"/>
              <w:right w:val="single" w:sz="4" w:space="0" w:color="002060"/>
            </w:tcBorders>
            <w:hideMark/>
          </w:tcPr>
          <w:p w14:paraId="3B3C7D0D" w14:textId="77777777" w:rsidR="00317E0C" w:rsidRDefault="00317E0C">
            <w:pPr>
              <w:rPr>
                <w:color w:val="002060"/>
              </w:rPr>
            </w:pPr>
            <w:r>
              <w:rPr>
                <w:color w:val="002060"/>
              </w:rPr>
              <w:t xml:space="preserve">Some children may think: </w:t>
            </w:r>
          </w:p>
          <w:p w14:paraId="1A962F0C" w14:textId="77777777" w:rsidR="00317E0C" w:rsidRDefault="00317E0C">
            <w:pPr>
              <w:rPr>
                <w:color w:val="002060"/>
              </w:rPr>
            </w:pPr>
            <w:r>
              <w:rPr>
                <w:color w:val="002060"/>
              </w:rPr>
              <w:t xml:space="preserve">- the death of one of the parts of a food chain or web has no or limited consequences on the rest of the chain </w:t>
            </w:r>
          </w:p>
          <w:p w14:paraId="0E97923D" w14:textId="77777777" w:rsidR="00317E0C" w:rsidRDefault="00317E0C">
            <w:pPr>
              <w:rPr>
                <w:color w:val="002060"/>
              </w:rPr>
            </w:pPr>
            <w:r>
              <w:rPr>
                <w:color w:val="002060"/>
              </w:rPr>
              <w:t xml:space="preserve">- there is always plenty of food for wild animals </w:t>
            </w:r>
          </w:p>
          <w:p w14:paraId="67D1EE72" w14:textId="77777777" w:rsidR="00317E0C" w:rsidRDefault="00317E0C">
            <w:pPr>
              <w:rPr>
                <w:color w:val="002060"/>
              </w:rPr>
            </w:pPr>
            <w:r>
              <w:rPr>
                <w:color w:val="002060"/>
              </w:rPr>
              <w:t xml:space="preserve">- animals are only land-living creatures </w:t>
            </w:r>
          </w:p>
          <w:p w14:paraId="7BB585C5" w14:textId="77777777" w:rsidR="00317E0C" w:rsidRDefault="00317E0C">
            <w:pPr>
              <w:rPr>
                <w:color w:val="002060"/>
              </w:rPr>
            </w:pPr>
            <w:r>
              <w:rPr>
                <w:color w:val="002060"/>
              </w:rPr>
              <w:t xml:space="preserve">- animals and plants can adapt to their habitats, however they change </w:t>
            </w:r>
          </w:p>
          <w:p w14:paraId="7DD9C827" w14:textId="77777777" w:rsidR="00317E0C" w:rsidRDefault="00317E0C">
            <w:pPr>
              <w:rPr>
                <w:color w:val="002060"/>
              </w:rPr>
            </w:pPr>
            <w:r>
              <w:rPr>
                <w:color w:val="002060"/>
              </w:rPr>
              <w:t>- all changes to habitats are negativ</w:t>
            </w:r>
            <w:r w:rsidR="00415A8D">
              <w:rPr>
                <w:color w:val="002060"/>
              </w:rPr>
              <w:t>e</w:t>
            </w:r>
          </w:p>
        </w:tc>
      </w:tr>
    </w:tbl>
    <w:p w14:paraId="0FC5F5F3" w14:textId="77777777" w:rsidR="00B8306F" w:rsidRDefault="006854F2"/>
    <w:sectPr w:rsidR="00B8306F" w:rsidSect="00DC6FC0">
      <w:head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2172" w14:textId="77777777" w:rsidR="006854F2" w:rsidRDefault="006854F2" w:rsidP="00911FFF">
      <w:pPr>
        <w:spacing w:after="0" w:line="240" w:lineRule="auto"/>
      </w:pPr>
      <w:r>
        <w:separator/>
      </w:r>
    </w:p>
  </w:endnote>
  <w:endnote w:type="continuationSeparator" w:id="0">
    <w:p w14:paraId="0370B623" w14:textId="77777777" w:rsidR="006854F2" w:rsidRDefault="006854F2" w:rsidP="00911FFF">
      <w:pPr>
        <w:spacing w:after="0" w:line="240" w:lineRule="auto"/>
      </w:pPr>
      <w:r>
        <w:continuationSeparator/>
      </w:r>
    </w:p>
  </w:endnote>
  <w:endnote w:type="continuationNotice" w:id="1">
    <w:p w14:paraId="4D736435" w14:textId="77777777" w:rsidR="006854F2" w:rsidRDefault="00685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743C" w14:textId="77777777" w:rsidR="006854F2" w:rsidRDefault="006854F2" w:rsidP="00911FFF">
      <w:pPr>
        <w:spacing w:after="0" w:line="240" w:lineRule="auto"/>
      </w:pPr>
      <w:r>
        <w:separator/>
      </w:r>
    </w:p>
  </w:footnote>
  <w:footnote w:type="continuationSeparator" w:id="0">
    <w:p w14:paraId="729EB122" w14:textId="77777777" w:rsidR="006854F2" w:rsidRDefault="006854F2" w:rsidP="00911FFF">
      <w:pPr>
        <w:spacing w:after="0" w:line="240" w:lineRule="auto"/>
      </w:pPr>
      <w:r>
        <w:continuationSeparator/>
      </w:r>
    </w:p>
  </w:footnote>
  <w:footnote w:type="continuationNotice" w:id="1">
    <w:p w14:paraId="55AA946B" w14:textId="77777777" w:rsidR="006854F2" w:rsidRDefault="00685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6696"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1B00BAB1" wp14:editId="0606D3CC">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D342E"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4EF7F520" wp14:editId="1983B96C">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980FA1">
      <w:rPr>
        <w:b/>
        <w:color w:val="002060"/>
        <w:sz w:val="24"/>
        <w:szCs w:val="24"/>
      </w:rPr>
      <w:t>Science</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1B"/>
    <w:multiLevelType w:val="hybridMultilevel"/>
    <w:tmpl w:val="B16AE26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4C159C"/>
    <w:multiLevelType w:val="hybridMultilevel"/>
    <w:tmpl w:val="6EAA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0096E"/>
    <w:multiLevelType w:val="multilevel"/>
    <w:tmpl w:val="E856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273842"/>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946304"/>
    <w:multiLevelType w:val="hybridMultilevel"/>
    <w:tmpl w:val="C8D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2"/>
  </w:num>
  <w:num w:numId="5">
    <w:abstractNumId w:val="10"/>
  </w:num>
  <w:num w:numId="6">
    <w:abstractNumId w:val="5"/>
  </w:num>
  <w:num w:numId="7">
    <w:abstractNumId w:val="3"/>
  </w:num>
  <w:num w:numId="8">
    <w:abstractNumId w:val="4"/>
  </w:num>
  <w:num w:numId="9">
    <w:abstractNumId w:val="13"/>
  </w:num>
  <w:num w:numId="10">
    <w:abstractNumId w:val="2"/>
  </w:num>
  <w:num w:numId="11">
    <w:abstractNumId w:val="14"/>
  </w:num>
  <w:num w:numId="12">
    <w:abstractNumId w:val="1"/>
  </w:num>
  <w:num w:numId="13">
    <w:abstractNumId w:val="15"/>
  </w:num>
  <w:num w:numId="14">
    <w:abstractNumId w:val="9"/>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10767"/>
    <w:rsid w:val="000241BA"/>
    <w:rsid w:val="0004323D"/>
    <w:rsid w:val="000433CF"/>
    <w:rsid w:val="00047506"/>
    <w:rsid w:val="000522B1"/>
    <w:rsid w:val="000558FB"/>
    <w:rsid w:val="000C5116"/>
    <w:rsid w:val="000E12EB"/>
    <w:rsid w:val="000E3FAA"/>
    <w:rsid w:val="001310C2"/>
    <w:rsid w:val="00136D6A"/>
    <w:rsid w:val="001414FB"/>
    <w:rsid w:val="001803D4"/>
    <w:rsid w:val="001835C4"/>
    <w:rsid w:val="00185963"/>
    <w:rsid w:val="001A04F1"/>
    <w:rsid w:val="001A3E5D"/>
    <w:rsid w:val="001B133D"/>
    <w:rsid w:val="001E04A7"/>
    <w:rsid w:val="00205840"/>
    <w:rsid w:val="00205D71"/>
    <w:rsid w:val="002069FF"/>
    <w:rsid w:val="00214275"/>
    <w:rsid w:val="00241BA8"/>
    <w:rsid w:val="002520AD"/>
    <w:rsid w:val="00255E91"/>
    <w:rsid w:val="00261C02"/>
    <w:rsid w:val="00267A41"/>
    <w:rsid w:val="002A5BF7"/>
    <w:rsid w:val="002D0CA1"/>
    <w:rsid w:val="002F3880"/>
    <w:rsid w:val="00307FDE"/>
    <w:rsid w:val="00317E0C"/>
    <w:rsid w:val="00320BC5"/>
    <w:rsid w:val="00327BA8"/>
    <w:rsid w:val="0035160A"/>
    <w:rsid w:val="00380C20"/>
    <w:rsid w:val="003A48D8"/>
    <w:rsid w:val="003B4C25"/>
    <w:rsid w:val="003C06D2"/>
    <w:rsid w:val="00401B17"/>
    <w:rsid w:val="00415A8D"/>
    <w:rsid w:val="004522BD"/>
    <w:rsid w:val="004751A5"/>
    <w:rsid w:val="0049259E"/>
    <w:rsid w:val="004C1AAF"/>
    <w:rsid w:val="004F3AF8"/>
    <w:rsid w:val="005031AE"/>
    <w:rsid w:val="00544740"/>
    <w:rsid w:val="0054537A"/>
    <w:rsid w:val="0054654E"/>
    <w:rsid w:val="00563217"/>
    <w:rsid w:val="0056541C"/>
    <w:rsid w:val="00570768"/>
    <w:rsid w:val="00573DA5"/>
    <w:rsid w:val="005926AF"/>
    <w:rsid w:val="00593B62"/>
    <w:rsid w:val="005943E2"/>
    <w:rsid w:val="00594ADC"/>
    <w:rsid w:val="00595ADD"/>
    <w:rsid w:val="005A0223"/>
    <w:rsid w:val="005A0BAC"/>
    <w:rsid w:val="005B38E0"/>
    <w:rsid w:val="005D4AF1"/>
    <w:rsid w:val="005E382B"/>
    <w:rsid w:val="005E5129"/>
    <w:rsid w:val="005E70B5"/>
    <w:rsid w:val="005E76EF"/>
    <w:rsid w:val="005F6692"/>
    <w:rsid w:val="0060237D"/>
    <w:rsid w:val="00610E98"/>
    <w:rsid w:val="00631C8D"/>
    <w:rsid w:val="0067257D"/>
    <w:rsid w:val="006854F2"/>
    <w:rsid w:val="006A7713"/>
    <w:rsid w:val="006E3B50"/>
    <w:rsid w:val="006F41AF"/>
    <w:rsid w:val="00724E06"/>
    <w:rsid w:val="007A2159"/>
    <w:rsid w:val="007B05B9"/>
    <w:rsid w:val="007B1DDA"/>
    <w:rsid w:val="007B1EBE"/>
    <w:rsid w:val="007D4632"/>
    <w:rsid w:val="007E3F4E"/>
    <w:rsid w:val="008512B4"/>
    <w:rsid w:val="00865D93"/>
    <w:rsid w:val="00895955"/>
    <w:rsid w:val="008A2311"/>
    <w:rsid w:val="008C0075"/>
    <w:rsid w:val="008E1732"/>
    <w:rsid w:val="00911FFF"/>
    <w:rsid w:val="009230C7"/>
    <w:rsid w:val="00940C47"/>
    <w:rsid w:val="00950176"/>
    <w:rsid w:val="0095074F"/>
    <w:rsid w:val="009647E7"/>
    <w:rsid w:val="00980006"/>
    <w:rsid w:val="00980FA1"/>
    <w:rsid w:val="009815C4"/>
    <w:rsid w:val="009C270D"/>
    <w:rsid w:val="009D0853"/>
    <w:rsid w:val="00A07B66"/>
    <w:rsid w:val="00A226FA"/>
    <w:rsid w:val="00A52B58"/>
    <w:rsid w:val="00A54114"/>
    <w:rsid w:val="00A92403"/>
    <w:rsid w:val="00A936DE"/>
    <w:rsid w:val="00AA2D6F"/>
    <w:rsid w:val="00AA632E"/>
    <w:rsid w:val="00AD00CE"/>
    <w:rsid w:val="00AE66E1"/>
    <w:rsid w:val="00B026EB"/>
    <w:rsid w:val="00B042E6"/>
    <w:rsid w:val="00B26B8E"/>
    <w:rsid w:val="00B40260"/>
    <w:rsid w:val="00B5100D"/>
    <w:rsid w:val="00B520C3"/>
    <w:rsid w:val="00B64CE5"/>
    <w:rsid w:val="00BA40C0"/>
    <w:rsid w:val="00BB629E"/>
    <w:rsid w:val="00BE35E5"/>
    <w:rsid w:val="00BE61A2"/>
    <w:rsid w:val="00BE6969"/>
    <w:rsid w:val="00C03257"/>
    <w:rsid w:val="00C10E4B"/>
    <w:rsid w:val="00C23FAF"/>
    <w:rsid w:val="00C27154"/>
    <w:rsid w:val="00C60EAC"/>
    <w:rsid w:val="00C61AE7"/>
    <w:rsid w:val="00C6388E"/>
    <w:rsid w:val="00C72773"/>
    <w:rsid w:val="00C735F0"/>
    <w:rsid w:val="00C753AF"/>
    <w:rsid w:val="00C96E6E"/>
    <w:rsid w:val="00CA40AC"/>
    <w:rsid w:val="00CE29A0"/>
    <w:rsid w:val="00CE4F2C"/>
    <w:rsid w:val="00D10A95"/>
    <w:rsid w:val="00D23724"/>
    <w:rsid w:val="00D25905"/>
    <w:rsid w:val="00D41213"/>
    <w:rsid w:val="00D548AC"/>
    <w:rsid w:val="00D5726C"/>
    <w:rsid w:val="00D66824"/>
    <w:rsid w:val="00D7074D"/>
    <w:rsid w:val="00D74866"/>
    <w:rsid w:val="00D91EA6"/>
    <w:rsid w:val="00DA25A7"/>
    <w:rsid w:val="00DC6FC0"/>
    <w:rsid w:val="00DD2E22"/>
    <w:rsid w:val="00DD610C"/>
    <w:rsid w:val="00DE617E"/>
    <w:rsid w:val="00DF1966"/>
    <w:rsid w:val="00E13D9D"/>
    <w:rsid w:val="00E35D44"/>
    <w:rsid w:val="00E40D50"/>
    <w:rsid w:val="00E416C0"/>
    <w:rsid w:val="00E51CB4"/>
    <w:rsid w:val="00E54AC0"/>
    <w:rsid w:val="00E55916"/>
    <w:rsid w:val="00E57071"/>
    <w:rsid w:val="00E60B24"/>
    <w:rsid w:val="00E673D6"/>
    <w:rsid w:val="00E82823"/>
    <w:rsid w:val="00E860CA"/>
    <w:rsid w:val="00E90FE9"/>
    <w:rsid w:val="00E915D9"/>
    <w:rsid w:val="00EA4B09"/>
    <w:rsid w:val="00EB26BF"/>
    <w:rsid w:val="00EB5F66"/>
    <w:rsid w:val="00ED7700"/>
    <w:rsid w:val="00EE3077"/>
    <w:rsid w:val="00F21B84"/>
    <w:rsid w:val="00F409FD"/>
    <w:rsid w:val="00F703E1"/>
    <w:rsid w:val="00F845D2"/>
    <w:rsid w:val="00F951AA"/>
    <w:rsid w:val="00FD4754"/>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B6848"/>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1827">
      <w:bodyDiv w:val="1"/>
      <w:marLeft w:val="0"/>
      <w:marRight w:val="0"/>
      <w:marTop w:val="0"/>
      <w:marBottom w:val="0"/>
      <w:divBdr>
        <w:top w:val="none" w:sz="0" w:space="0" w:color="auto"/>
        <w:left w:val="none" w:sz="0" w:space="0" w:color="auto"/>
        <w:bottom w:val="none" w:sz="0" w:space="0" w:color="auto"/>
        <w:right w:val="none" w:sz="0" w:space="0" w:color="auto"/>
      </w:divBdr>
    </w:div>
    <w:div w:id="175385106">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telegraphandargus.co.uk/news/19374454.15-000-new-trees-keighley-reduce-river-aire-flood-ri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Daniel Poole</cp:lastModifiedBy>
  <cp:revision>15</cp:revision>
  <dcterms:created xsi:type="dcterms:W3CDTF">2021-07-06T09:27:00Z</dcterms:created>
  <dcterms:modified xsi:type="dcterms:W3CDTF">2023-11-15T14:56:00Z</dcterms:modified>
</cp:coreProperties>
</file>