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720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1559"/>
        <w:gridCol w:w="6379"/>
        <w:gridCol w:w="2126"/>
        <w:gridCol w:w="1762"/>
        <w:tblGridChange w:id="0">
          <w:tblGrid>
            <w:gridCol w:w="2122"/>
            <w:gridCol w:w="1559"/>
            <w:gridCol w:w="6379"/>
            <w:gridCol w:w="2126"/>
            <w:gridCol w:w="176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5b9bd5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3510"/>
                <w:tab w:val="center" w:leader="none" w:pos="6866"/>
              </w:tabs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bookmarkStart w:colFirst="0" w:colLast="0" w:name="_heading=h.k7rcn6yu3o7g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ab/>
              <w:tab/>
              <w:t xml:space="preserve">Graduated Approach to Behaviour </w:t>
            </w:r>
          </w:p>
        </w:tc>
      </w:tr>
      <w:tr>
        <w:trPr>
          <w:cantSplit w:val="0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Stage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Children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Support and provision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Resources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Who will be involved</w:t>
            </w:r>
          </w:p>
        </w:tc>
      </w:tr>
      <w:tr>
        <w:trPr>
          <w:cantSplit w:val="0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– whole school support 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All children 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Class based practices with usual class-based team 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School behaviour policy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School behaviour curriculum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Celebration awards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Dojo messages and Dojo point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Use of ‘rest sessions’ if 3 incidents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Cpoms to log incident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Dojo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Class teacher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TAs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Phase leader</w:t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– early intervention 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Children showing initial need for some additional support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In-class interventions with usual class-based team 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These interventions might become part of ongoing provision if effective 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Stage 2 class report  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Initial fortnightly review with parents 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Reasonable adjustments in the classroom – fidget, cushion, brain breaks.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Class report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Cpoms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Dojo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Class teacher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TAs 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Parents 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Phase leader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– Targeted support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Children requiring more sustained support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Move to stage 3 on behaviour report 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Fortnightly meeting with parents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School based interventions – referral to learning mentor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Alternative provision at break and lunch time (if required)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Zone of regulation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Pupil passport 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Internal exclusions used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phase leader report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Cpoms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Dojo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Reasonable adjustments in the classroom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SENCO support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Class teacher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TAs 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Phase leader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Parents 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SENCO </w:t>
            </w:r>
          </w:p>
        </w:tc>
      </w:tr>
      <w:tr>
        <w:trPr>
          <w:cantSplit w:val="0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– highly focused support 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Children at risk of not accessing mainstream learning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Teacher, SENCO and parents to explore external support – scil 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External agencies involved – eg, SEMH, counselling, scil team, EP Internal Alternative Provision discussed with SENCO 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Increased adult support  Adapted timetables and/or curriculum 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Regular review of pupil passport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Playground supervision/restrictions where appropriate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Fortnightly review meetings with Phase leader, teacher and parents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Behaviour contract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External exclusions in agreement with SLT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 house support – learning mentor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Commando Joes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Zone of regulation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Brain breaks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Reason adjustments in class 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Class teacher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TAs 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Phase leader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Parents 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SENCO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SCIL team and other external agencies </w:t>
            </w:r>
          </w:p>
        </w:tc>
      </w:tr>
      <w:tr>
        <w:trPr>
          <w:cantSplit w:val="0"/>
          <w:tblHeader w:val="0"/>
        </w:trPr>
        <w:tc>
          <w:tcPr>
            <w:shd w:fill="f4b083" w:val="clea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– at risk of exclusion 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Children who are at risk of exclusion 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High Risk group - consult with SCIL – SEMH team 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High adult ratios 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Consider referral for EHCP Safety of pupils and of others is the priority - separate room/playground timetables if needed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Individual risk assessment Risk assessment 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Team teach (if needed)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Pupil passport with regular reviews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Personalised risk assessment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Class teacher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TAs 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Phase leader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Parents 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SENCO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SCIL team and other external agencies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Head teacher </w:t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855B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855B3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276DF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76DF7"/>
  </w:style>
  <w:style w:type="paragraph" w:styleId="Footer">
    <w:name w:val="footer"/>
    <w:basedOn w:val="Normal"/>
    <w:link w:val="FooterChar"/>
    <w:uiPriority w:val="99"/>
    <w:unhideWhenUsed w:val="1"/>
    <w:rsid w:val="00276DF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76DF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x5d4tdpVtwzB6Fn+9CvDa6H5Lw==">CgMxLjAyDmguazdyY242eXUzbzdnOAByITFXanA0SU9JcVIxNW1NZ2ItNE5OcURDSVU2Tm54cEhjbA==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2025-08-31T08:28:00Z</dcterms:created>
  <dc:creator>user1</dc:creator>
</cp:coreProperties>
</file>