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72CCF31E" w14:textId="77777777" w:rsidTr="00180FC4">
        <w:tc>
          <w:tcPr>
            <w:tcW w:w="10194" w:type="dxa"/>
            <w:gridSpan w:val="2"/>
          </w:tcPr>
          <w:p w14:paraId="0DE05942" w14:textId="5C6B58C5" w:rsidR="00AE66E1" w:rsidRPr="00AE66E1" w:rsidRDefault="00980FA1" w:rsidP="003E2EC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1</w:t>
            </w:r>
            <w:r w:rsidR="00645B21">
              <w:rPr>
                <w:b/>
                <w:color w:val="002060"/>
              </w:rPr>
              <w:t xml:space="preserve">: </w:t>
            </w:r>
            <w:r w:rsidR="003E2EC1">
              <w:rPr>
                <w:b/>
                <w:color w:val="002060"/>
              </w:rPr>
              <w:t xml:space="preserve">Plants (Plants) </w:t>
            </w:r>
            <w:r w:rsidR="00B90601">
              <w:rPr>
                <w:b/>
                <w:color w:val="002060"/>
              </w:rPr>
              <w:t xml:space="preserve"> </w:t>
            </w:r>
            <w:r w:rsidR="00B90601">
              <w:rPr>
                <w:b/>
                <w:color w:val="002060"/>
              </w:rPr>
              <w:t>UPDATED November 2023</w:t>
            </w:r>
          </w:p>
        </w:tc>
      </w:tr>
      <w:tr w:rsidR="00911FFF" w14:paraId="31754F22" w14:textId="77777777" w:rsidTr="005B4B83">
        <w:trPr>
          <w:trHeight w:val="562"/>
        </w:trPr>
        <w:tc>
          <w:tcPr>
            <w:tcW w:w="2122" w:type="dxa"/>
          </w:tcPr>
          <w:p w14:paraId="3B97C44E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4852A84C" w14:textId="77777777" w:rsidR="00FB45EA" w:rsidRDefault="00F908CD" w:rsidP="00F908CD">
            <w:pPr>
              <w:rPr>
                <w:color w:val="002060"/>
              </w:rPr>
            </w:pPr>
            <w:r>
              <w:rPr>
                <w:color w:val="002060"/>
              </w:rPr>
              <w:t>G</w:t>
            </w:r>
            <w:r w:rsidR="00FB45EA">
              <w:rPr>
                <w:color w:val="002060"/>
              </w:rPr>
              <w:t>eography</w:t>
            </w:r>
            <w:r w:rsidR="00645B21">
              <w:rPr>
                <w:color w:val="002060"/>
              </w:rPr>
              <w:t xml:space="preserve">: our </w:t>
            </w:r>
            <w:r>
              <w:rPr>
                <w:color w:val="002060"/>
              </w:rPr>
              <w:t>local area</w:t>
            </w:r>
          </w:p>
          <w:p w14:paraId="260F3BC9" w14:textId="77777777" w:rsidR="002D558C" w:rsidRPr="00571332" w:rsidRDefault="002D558C" w:rsidP="00F908CD">
            <w:pPr>
              <w:rPr>
                <w:color w:val="002060"/>
              </w:rPr>
            </w:pPr>
            <w:r>
              <w:rPr>
                <w:color w:val="002060"/>
              </w:rPr>
              <w:t>English texts</w:t>
            </w:r>
            <w:r w:rsidR="00645B21">
              <w:rPr>
                <w:color w:val="002060"/>
              </w:rPr>
              <w:t xml:space="preserve">: </w:t>
            </w:r>
            <w:r>
              <w:rPr>
                <w:color w:val="002060"/>
              </w:rPr>
              <w:t xml:space="preserve">seed and turnip texts </w:t>
            </w:r>
          </w:p>
        </w:tc>
      </w:tr>
      <w:tr w:rsidR="00911FFF" w14:paraId="3090C00F" w14:textId="77777777" w:rsidTr="002520AD">
        <w:tc>
          <w:tcPr>
            <w:tcW w:w="2122" w:type="dxa"/>
          </w:tcPr>
          <w:p w14:paraId="7C699F45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7B1004B0" w14:textId="77777777" w:rsidR="005D4AF1" w:rsidRDefault="003E2EC1" w:rsidP="005E382B">
            <w:r w:rsidRPr="00F908CD">
              <w:rPr>
                <w:color w:val="002060"/>
              </w:rPr>
              <w:t>What is</w:t>
            </w:r>
            <w:r w:rsidR="00645B21">
              <w:rPr>
                <w:color w:val="002060"/>
              </w:rPr>
              <w:t xml:space="preserve"> this plant</w:t>
            </w:r>
            <w:r w:rsidR="00EB2953">
              <w:rPr>
                <w:color w:val="002060"/>
              </w:rPr>
              <w:t xml:space="preserve"> / tree</w:t>
            </w:r>
            <w:r w:rsidR="00645B21">
              <w:rPr>
                <w:color w:val="002060"/>
              </w:rPr>
              <w:t>?</w:t>
            </w:r>
          </w:p>
        </w:tc>
      </w:tr>
      <w:tr w:rsidR="00911FFF" w14:paraId="72CBF3DA" w14:textId="77777777" w:rsidTr="002520AD">
        <w:tc>
          <w:tcPr>
            <w:tcW w:w="2122" w:type="dxa"/>
          </w:tcPr>
          <w:p w14:paraId="3C24DD7C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6D51B64F" w14:textId="77777777" w:rsidR="000433CF" w:rsidRPr="00AE66E1" w:rsidRDefault="00F908CD" w:rsidP="000433CF">
            <w:pPr>
              <w:rPr>
                <w:color w:val="002060"/>
              </w:rPr>
            </w:pPr>
            <w:r>
              <w:rPr>
                <w:color w:val="002060"/>
              </w:rPr>
              <w:t xml:space="preserve">List the different plants and trees they have learnt about in their local area and label </w:t>
            </w:r>
            <w:r w:rsidR="005B4B83">
              <w:rPr>
                <w:color w:val="002060"/>
              </w:rPr>
              <w:t xml:space="preserve">accordingly. </w:t>
            </w:r>
          </w:p>
        </w:tc>
      </w:tr>
      <w:tr w:rsidR="00D41213" w14:paraId="1C5ED1BF" w14:textId="77777777" w:rsidTr="002520AD">
        <w:tc>
          <w:tcPr>
            <w:tcW w:w="2122" w:type="dxa"/>
          </w:tcPr>
          <w:p w14:paraId="1556D57A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3F4876B9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59FF6309" w14:textId="77777777" w:rsidR="00905B62" w:rsidRPr="00E65B74" w:rsidRDefault="00F35E2B" w:rsidP="00905B62">
            <w:pPr>
              <w:rPr>
                <w:color w:val="002060"/>
              </w:rPr>
            </w:pPr>
            <w:r w:rsidRPr="00E65B74">
              <w:rPr>
                <w:color w:val="002060"/>
              </w:rPr>
              <w:t>-</w:t>
            </w:r>
            <w:r w:rsidR="00255E91" w:rsidRPr="00E65B74">
              <w:rPr>
                <w:color w:val="002060"/>
              </w:rPr>
              <w:t xml:space="preserve"> </w:t>
            </w:r>
            <w:r w:rsidR="00C72773" w:rsidRPr="00E65B74">
              <w:rPr>
                <w:color w:val="002060"/>
              </w:rPr>
              <w:t xml:space="preserve"> </w:t>
            </w:r>
            <w:r w:rsidR="00905B62" w:rsidRPr="00E65B74">
              <w:rPr>
                <w:color w:val="002060"/>
              </w:rPr>
              <w:t xml:space="preserve">Identify and name a variety of common wild and garden plants, including deciduous and evergreen trees. </w:t>
            </w:r>
          </w:p>
          <w:p w14:paraId="35872337" w14:textId="77777777" w:rsidR="00D41213" w:rsidRPr="00025FEC" w:rsidRDefault="00905B62" w:rsidP="00255E91">
            <w:r w:rsidRPr="00E65B74">
              <w:rPr>
                <w:color w:val="002060"/>
              </w:rPr>
              <w:t>- Identify and describe the basic structure of a variety of common flowering plants, including trees.</w:t>
            </w:r>
          </w:p>
        </w:tc>
      </w:tr>
      <w:tr w:rsidR="00D41213" w14:paraId="046320C8" w14:textId="77777777" w:rsidTr="002520AD">
        <w:tc>
          <w:tcPr>
            <w:tcW w:w="2122" w:type="dxa"/>
          </w:tcPr>
          <w:p w14:paraId="7CA13AEA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505E1B7E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45518D9C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64B27588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2D53D6C5" w14:textId="77777777" w:rsidR="00255E91" w:rsidRPr="005B4B83" w:rsidRDefault="00255E91" w:rsidP="00255E91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5B4B83">
              <w:rPr>
                <w:color w:val="002060"/>
              </w:rPr>
              <w:t xml:space="preserve">: </w:t>
            </w:r>
            <w:r w:rsidR="00DF1966" w:rsidRPr="00DF1966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5B4B83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 xml:space="preserve">talk about the features of their own immediate environment and how environments might vary from one another. They </w:t>
            </w:r>
            <w:r w:rsidR="005B4B83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>make observations of animals and plants and explain why some things occur</w:t>
            </w:r>
            <w:r w:rsidR="005B4B83">
              <w:rPr>
                <w:color w:val="002060"/>
              </w:rPr>
              <w:t xml:space="preserve">. They can </w:t>
            </w:r>
            <w:r w:rsidR="00DF1966" w:rsidRPr="00DF1966">
              <w:rPr>
                <w:color w:val="002060"/>
              </w:rPr>
              <w:t>talk about changes.</w:t>
            </w:r>
          </w:p>
        </w:tc>
      </w:tr>
      <w:tr w:rsidR="00D41213" w14:paraId="6B132E5A" w14:textId="77777777" w:rsidTr="002520AD">
        <w:tc>
          <w:tcPr>
            <w:tcW w:w="2122" w:type="dxa"/>
          </w:tcPr>
          <w:p w14:paraId="69ED4AA2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4F55089C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0C3827C2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615A0435" w14:textId="77777777" w:rsidR="00C72773" w:rsidRPr="00980006" w:rsidRDefault="00255E91" w:rsidP="003E2EC1">
            <w:pPr>
              <w:rPr>
                <w:color w:val="002060"/>
              </w:rPr>
            </w:pPr>
            <w:r>
              <w:rPr>
                <w:color w:val="002060"/>
              </w:rPr>
              <w:t>Yr 2</w:t>
            </w:r>
            <w:r w:rsidR="00645B21">
              <w:rPr>
                <w:color w:val="002060"/>
              </w:rPr>
              <w:t xml:space="preserve">: </w:t>
            </w:r>
            <w:r w:rsidR="003E2EC1">
              <w:rPr>
                <w:b/>
                <w:color w:val="002060"/>
              </w:rPr>
              <w:t xml:space="preserve">Growing plants </w:t>
            </w:r>
            <w:r w:rsidR="00C72773">
              <w:rPr>
                <w:b/>
                <w:color w:val="002060"/>
              </w:rPr>
              <w:t>(</w:t>
            </w:r>
            <w:r w:rsidR="003E2EC1">
              <w:rPr>
                <w:b/>
                <w:color w:val="002060"/>
              </w:rPr>
              <w:t>Plants</w:t>
            </w:r>
            <w:r w:rsidR="00C72773">
              <w:rPr>
                <w:b/>
                <w:color w:val="002060"/>
              </w:rPr>
              <w:t>)</w:t>
            </w:r>
            <w:r w:rsidR="003E2EC1">
              <w:rPr>
                <w:b/>
                <w:color w:val="002060"/>
              </w:rPr>
              <w:br/>
            </w:r>
            <w:r w:rsidR="00C72773">
              <w:rPr>
                <w:color w:val="002060"/>
              </w:rPr>
              <w:t>Yr 3</w:t>
            </w:r>
            <w:r w:rsidR="00645B21">
              <w:rPr>
                <w:color w:val="002060"/>
              </w:rPr>
              <w:t xml:space="preserve">: </w:t>
            </w:r>
            <w:r w:rsidR="003E2EC1">
              <w:rPr>
                <w:b/>
                <w:color w:val="002060"/>
              </w:rPr>
              <w:t xml:space="preserve">What plants need and parts of plants </w:t>
            </w:r>
            <w:r w:rsidR="00C72773">
              <w:rPr>
                <w:b/>
                <w:color w:val="002060"/>
              </w:rPr>
              <w:t>(</w:t>
            </w:r>
            <w:r w:rsidR="003E2EC1">
              <w:rPr>
                <w:b/>
                <w:color w:val="002060"/>
              </w:rPr>
              <w:t>Plants)</w:t>
            </w:r>
          </w:p>
          <w:p w14:paraId="55605113" w14:textId="77777777" w:rsidR="00D41213" w:rsidRPr="00C72773" w:rsidRDefault="00D41213" w:rsidP="00C72773">
            <w:pPr>
              <w:rPr>
                <w:color w:val="002060"/>
              </w:rPr>
            </w:pPr>
          </w:p>
        </w:tc>
      </w:tr>
      <w:tr w:rsidR="00D41213" w14:paraId="1040C085" w14:textId="77777777" w:rsidTr="002520AD">
        <w:tc>
          <w:tcPr>
            <w:tcW w:w="2122" w:type="dxa"/>
          </w:tcPr>
          <w:p w14:paraId="59E6147A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6AAC67CE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905B62" w:rsidRPr="00905B62" w14:paraId="5E4121A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31741B8" w14:textId="77777777" w:rsidR="00B26B8E" w:rsidRPr="00905B62" w:rsidRDefault="00B26B8E" w:rsidP="00B90601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05B62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905B62" w:rsidRPr="00905B62" w14:paraId="57A39728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3B526F1" w14:textId="77777777" w:rsidR="00B26B8E" w:rsidRPr="00905B62" w:rsidRDefault="00905B62" w:rsidP="00B90601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05B62">
                    <w:rPr>
                      <w:color w:val="002060"/>
                    </w:rPr>
                    <w:t>- Allow children to classify leaves, flowers, and seeds, choosing their own criteria.</w:t>
                  </w:r>
                </w:p>
              </w:tc>
            </w:tr>
            <w:tr w:rsidR="00905B62" w:rsidRPr="00905B62" w14:paraId="000C25DB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39EACECB" w14:textId="77777777" w:rsidR="00B26B8E" w:rsidRPr="00905B62" w:rsidRDefault="00B26B8E" w:rsidP="00B90601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05B62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905B62" w:rsidRPr="00905B62" w14:paraId="546FEF18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D14E972" w14:textId="77777777" w:rsidR="00905B62" w:rsidRPr="00905B62" w:rsidRDefault="00905B62" w:rsidP="00B90601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05B62">
                    <w:rPr>
                      <w:color w:val="002060"/>
                    </w:rPr>
                    <w:t>-</w:t>
                  </w:r>
                  <w:r w:rsidR="005B4B83">
                    <w:rPr>
                      <w:color w:val="002060"/>
                    </w:rPr>
                    <w:t xml:space="preserve"> </w:t>
                  </w:r>
                  <w:r w:rsidRPr="00905B62">
                    <w:rPr>
                      <w:color w:val="002060"/>
                    </w:rPr>
                    <w:t xml:space="preserve">Observe a tree through the year. </w:t>
                  </w:r>
                </w:p>
                <w:p w14:paraId="564C9EAB" w14:textId="77777777" w:rsidR="00B26B8E" w:rsidRPr="00905B62" w:rsidRDefault="00905B62" w:rsidP="00B90601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05B62">
                    <w:rPr>
                      <w:color w:val="002060"/>
                    </w:rPr>
                    <w:t>-</w:t>
                  </w:r>
                  <w:r w:rsidR="005B4B83">
                    <w:rPr>
                      <w:color w:val="002060"/>
                    </w:rPr>
                    <w:t xml:space="preserve"> </w:t>
                  </w:r>
                  <w:r w:rsidRPr="00905B62">
                    <w:rPr>
                      <w:color w:val="002060"/>
                    </w:rPr>
                    <w:t>Observe a trail/patch to identify how plants change through the year.</w:t>
                  </w:r>
                </w:p>
              </w:tc>
            </w:tr>
            <w:tr w:rsidR="00905B62" w:rsidRPr="00905B62" w14:paraId="241D90F0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653457EA" w14:textId="77777777" w:rsidR="00B26B8E" w:rsidRPr="00905B62" w:rsidRDefault="00B26B8E" w:rsidP="00B90601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05B62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905B62" w:rsidRPr="00905B62" w14:paraId="57701112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D4E145E" w14:textId="77777777" w:rsidR="00B26B8E" w:rsidRPr="00905B62" w:rsidRDefault="00905B62" w:rsidP="00B90601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05B62">
                    <w:rPr>
                      <w:color w:val="002060"/>
                    </w:rPr>
                    <w:t>Based on observations, encourage children to identify patterns e.g. after comparing the size of leaves on different plants, children may suggest “bigger plants have bigger leaves.”</w:t>
                  </w:r>
                </w:p>
              </w:tc>
            </w:tr>
            <w:tr w:rsidR="00905B62" w:rsidRPr="00905B62" w14:paraId="51E56678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14BBEDA" w14:textId="77777777" w:rsidR="00B26B8E" w:rsidRPr="00905B62" w:rsidRDefault="00B26B8E" w:rsidP="00B90601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05B62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905B62" w:rsidRPr="00905B62" w14:paraId="4D318CC3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898E90D" w14:textId="77777777" w:rsidR="00B26B8E" w:rsidRPr="00905B62" w:rsidRDefault="00905B62" w:rsidP="00B90601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05B62"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905B62" w:rsidRPr="00905B62" w14:paraId="5AC62D3F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0F1E40B" w14:textId="77777777" w:rsidR="00B26B8E" w:rsidRPr="00905B62" w:rsidRDefault="00B26B8E" w:rsidP="00B90601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05B62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905B62" w:rsidRPr="00905B62" w14:paraId="6A7463AB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FC2AD04" w14:textId="77777777" w:rsidR="00B26B8E" w:rsidRPr="00905B62" w:rsidRDefault="00905B62" w:rsidP="00B90601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05B62">
                    <w:rPr>
                      <w:color w:val="002060"/>
                    </w:rPr>
                    <w:t xml:space="preserve"> -Use secondary sources to name plants (including trees) based on observations of leaves, seeds, flowers, buds, and bark (Leafsnap UK on Apple App Store, SEEK INaturalist on </w:t>
                  </w:r>
                  <w:r w:rsidR="005B4B83">
                    <w:rPr>
                      <w:color w:val="002060"/>
                    </w:rPr>
                    <w:t>G</w:t>
                  </w:r>
                  <w:r w:rsidRPr="00905B62">
                    <w:rPr>
                      <w:color w:val="002060"/>
                    </w:rPr>
                    <w:t xml:space="preserve">oogle </w:t>
                  </w:r>
                  <w:r w:rsidR="005B4B83">
                    <w:rPr>
                      <w:color w:val="002060"/>
                    </w:rPr>
                    <w:t>P</w:t>
                  </w:r>
                  <w:r w:rsidRPr="00905B62">
                    <w:rPr>
                      <w:color w:val="002060"/>
                    </w:rPr>
                    <w:t>lay and Apple App Store, textbooks, Woodland Trust resources)</w:t>
                  </w:r>
                </w:p>
              </w:tc>
            </w:tr>
          </w:tbl>
          <w:p w14:paraId="0E2082A6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7C4A0C9D" w14:textId="77777777" w:rsidTr="002520AD">
        <w:tc>
          <w:tcPr>
            <w:tcW w:w="2122" w:type="dxa"/>
          </w:tcPr>
          <w:p w14:paraId="1F267A39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222B9043" w14:textId="77777777" w:rsidR="00D41213" w:rsidRDefault="00905B62" w:rsidP="00B76499">
            <w:r w:rsidRPr="00905B62">
              <w:rPr>
                <w:color w:val="002060"/>
              </w:rPr>
              <w:t>Leaf, flower, blossom, petal, fruit, berry, root, seed, trunk, branch, stem, bark, stalk, bud</w:t>
            </w:r>
            <w:r w:rsidR="005B4B83">
              <w:rPr>
                <w:color w:val="002060"/>
              </w:rPr>
              <w:t>, e</w:t>
            </w:r>
            <w:r w:rsidR="004F703A">
              <w:rPr>
                <w:color w:val="002060"/>
              </w:rPr>
              <w:t>vergreen</w:t>
            </w:r>
            <w:r w:rsidR="005B4B83">
              <w:rPr>
                <w:color w:val="002060"/>
              </w:rPr>
              <w:t xml:space="preserve">, </w:t>
            </w:r>
            <w:r w:rsidR="00B76499" w:rsidRPr="00B76499">
              <w:rPr>
                <w:color w:val="002060"/>
              </w:rPr>
              <w:t>deciduous</w:t>
            </w:r>
            <w:r w:rsidRPr="00905B62">
              <w:rPr>
                <w:color w:val="002060"/>
              </w:rPr>
              <w:br/>
              <w:t>Names of trees in the local area</w:t>
            </w:r>
            <w:r w:rsidR="005B4B83">
              <w:rPr>
                <w:color w:val="002060"/>
              </w:rPr>
              <w:t xml:space="preserve"> include</w:t>
            </w:r>
            <w:r>
              <w:rPr>
                <w:color w:val="002060"/>
              </w:rPr>
              <w:t xml:space="preserve">: </w:t>
            </w:r>
            <w:r w:rsidRPr="00905B62">
              <w:rPr>
                <w:color w:val="002060"/>
              </w:rPr>
              <w:t>broadleaved natives, including Birch, Holly, Hawthorn,</w:t>
            </w:r>
            <w:r w:rsidR="00E844D8">
              <w:rPr>
                <w:color w:val="002060"/>
              </w:rPr>
              <w:t xml:space="preserve"> oak, conifer, beech, sycamore,</w:t>
            </w:r>
            <w:r w:rsidRPr="00905B62">
              <w:rPr>
                <w:color w:val="002060"/>
              </w:rPr>
              <w:t xml:space="preserve"> Alder </w:t>
            </w:r>
            <w:r w:rsidR="00E844D8">
              <w:rPr>
                <w:color w:val="002060"/>
              </w:rPr>
              <w:t>to Hornbeam and Scotts Pine</w:t>
            </w:r>
            <w:r w:rsidRPr="00905B62">
              <w:rPr>
                <w:color w:val="002060"/>
              </w:rPr>
              <w:br/>
              <w:t>Names of garden and wild flowering plants in the local area</w:t>
            </w:r>
            <w:r w:rsidR="005B4B83">
              <w:rPr>
                <w:color w:val="002060"/>
              </w:rPr>
              <w:t xml:space="preserve"> include</w:t>
            </w:r>
            <w:r>
              <w:rPr>
                <w:color w:val="002060"/>
              </w:rPr>
              <w:t>:</w:t>
            </w:r>
            <w:r w:rsidR="00E844D8">
              <w:rPr>
                <w:color w:val="002060"/>
              </w:rPr>
              <w:t xml:space="preserve"> roses, bluebells, tulips, snowdrops </w:t>
            </w:r>
          </w:p>
        </w:tc>
      </w:tr>
      <w:tr w:rsidR="00D41213" w14:paraId="2C98BDF8" w14:textId="77777777" w:rsidTr="002520AD">
        <w:tc>
          <w:tcPr>
            <w:tcW w:w="2122" w:type="dxa"/>
          </w:tcPr>
          <w:p w14:paraId="3FD2DEAB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17B514E0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18EE852F" w14:textId="77777777" w:rsidR="00D41213" w:rsidRDefault="00D41213" w:rsidP="00D41213"/>
        </w:tc>
        <w:tc>
          <w:tcPr>
            <w:tcW w:w="8072" w:type="dxa"/>
          </w:tcPr>
          <w:p w14:paraId="11780B35" w14:textId="77777777" w:rsidR="001803D4" w:rsidRPr="005B4B83" w:rsidRDefault="00D41213" w:rsidP="00D41213">
            <w:pPr>
              <w:rPr>
                <w:i/>
                <w:color w:val="002060"/>
              </w:rPr>
            </w:pPr>
            <w:r w:rsidRPr="005B4B83">
              <w:rPr>
                <w:i/>
                <w:color w:val="002060"/>
              </w:rPr>
              <w:t>The knowledge that children will learn and remember:</w:t>
            </w:r>
          </w:p>
          <w:p w14:paraId="4552AD65" w14:textId="77777777" w:rsidR="00EB2953" w:rsidRPr="00EB2953" w:rsidRDefault="00EB2953" w:rsidP="00EB295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  <w:color w:val="002060"/>
                <w:szCs w:val="20"/>
              </w:rPr>
            </w:pPr>
            <w:r w:rsidRPr="00EB2953">
              <w:rPr>
                <w:rFonts w:cstheme="minorHAnsi"/>
                <w:i/>
                <w:color w:val="002060"/>
                <w:szCs w:val="20"/>
              </w:rPr>
              <w:t xml:space="preserve">Growing locally, there will be a vast array of plants which all have specific names. Children can name some of these. </w:t>
            </w:r>
          </w:p>
          <w:p w14:paraId="0FD2DDED" w14:textId="77777777" w:rsidR="00EB2953" w:rsidRPr="00EB2953" w:rsidRDefault="00EB2953" w:rsidP="00EB295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  <w:color w:val="002060"/>
                <w:szCs w:val="20"/>
              </w:rPr>
            </w:pPr>
            <w:r w:rsidRPr="00EB2953">
              <w:rPr>
                <w:rFonts w:cstheme="minorHAnsi"/>
                <w:i/>
                <w:color w:val="002060"/>
                <w:szCs w:val="20"/>
              </w:rPr>
              <w:t xml:space="preserve">Plants can be identified by looking at their key characteristics e.g. root, stem, leaf, flower. </w:t>
            </w:r>
          </w:p>
          <w:p w14:paraId="27988598" w14:textId="77777777" w:rsidR="00EB2953" w:rsidRPr="00EB2953" w:rsidRDefault="00EB2953" w:rsidP="00EB295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  <w:color w:val="002060"/>
                <w:szCs w:val="20"/>
              </w:rPr>
            </w:pPr>
            <w:r w:rsidRPr="00EB2953">
              <w:rPr>
                <w:rFonts w:cstheme="minorHAnsi"/>
                <w:i/>
                <w:color w:val="002060"/>
                <w:szCs w:val="20"/>
              </w:rPr>
              <w:t xml:space="preserve">Plants have common parts, but they vary between the different types of plants. </w:t>
            </w:r>
          </w:p>
          <w:p w14:paraId="2149F069" w14:textId="77777777" w:rsidR="005D4AF1" w:rsidRPr="00EB2953" w:rsidRDefault="00EB2953" w:rsidP="00EB2953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EB2953">
              <w:rPr>
                <w:rFonts w:cstheme="minorHAnsi"/>
                <w:i/>
                <w:color w:val="002060"/>
                <w:szCs w:val="20"/>
              </w:rPr>
              <w:lastRenderedPageBreak/>
              <w:t xml:space="preserve">Some trees keep their leaves all </w:t>
            </w:r>
            <w:r w:rsidRPr="004425A1">
              <w:rPr>
                <w:rFonts w:cstheme="minorHAnsi"/>
                <w:i/>
                <w:color w:val="002060"/>
                <w:szCs w:val="20"/>
              </w:rPr>
              <w:t>year (evergreen) while other trees drop their leaves during autumn and grow them again during spring (deciduous).</w:t>
            </w:r>
          </w:p>
        </w:tc>
      </w:tr>
      <w:tr w:rsidR="00D41213" w14:paraId="68736DBB" w14:textId="77777777" w:rsidTr="002520AD">
        <w:tc>
          <w:tcPr>
            <w:tcW w:w="2122" w:type="dxa"/>
          </w:tcPr>
          <w:p w14:paraId="7ABC940E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2F88C96F" w14:textId="77777777" w:rsidR="00EB2953" w:rsidRPr="00EB2953" w:rsidRDefault="00EB2953" w:rsidP="00EB295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/>
                <w:color w:val="002060"/>
                <w:szCs w:val="20"/>
              </w:rPr>
            </w:pPr>
            <w:r w:rsidRPr="00EB2953">
              <w:rPr>
                <w:rFonts w:cstheme="minorHAnsi"/>
                <w:i/>
                <w:color w:val="002060"/>
                <w:szCs w:val="20"/>
              </w:rPr>
              <w:t xml:space="preserve">Growing locally, there will be a vast array of plants which all have specific names. Children can name some of these. </w:t>
            </w:r>
          </w:p>
          <w:p w14:paraId="2DA473FA" w14:textId="77777777" w:rsidR="00EB2953" w:rsidRPr="00EB2953" w:rsidRDefault="00EB2953" w:rsidP="00EB295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/>
                <w:color w:val="002060"/>
                <w:szCs w:val="20"/>
              </w:rPr>
            </w:pPr>
            <w:r w:rsidRPr="00EB2953">
              <w:rPr>
                <w:rFonts w:cstheme="minorHAnsi"/>
                <w:i/>
                <w:color w:val="002060"/>
                <w:szCs w:val="20"/>
              </w:rPr>
              <w:t xml:space="preserve">Plants can be identified by looking at their key characteristics e.g. root, stem, leaf, flower. </w:t>
            </w:r>
          </w:p>
          <w:p w14:paraId="190210B2" w14:textId="77777777" w:rsidR="00EB2953" w:rsidRPr="00EB2953" w:rsidRDefault="00EB2953" w:rsidP="00EB295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/>
                <w:color w:val="002060"/>
                <w:szCs w:val="20"/>
              </w:rPr>
            </w:pPr>
            <w:r w:rsidRPr="00EB2953">
              <w:rPr>
                <w:rFonts w:cstheme="minorHAnsi"/>
                <w:i/>
                <w:color w:val="002060"/>
                <w:szCs w:val="20"/>
              </w:rPr>
              <w:t>Plants have common parts, but they vary between the different types of plants.</w:t>
            </w:r>
          </w:p>
          <w:p w14:paraId="7F472C17" w14:textId="77777777" w:rsidR="00DD610C" w:rsidRPr="00EB2953" w:rsidRDefault="00EB2953" w:rsidP="00EB2953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EB2953">
              <w:rPr>
                <w:rFonts w:cstheme="minorHAnsi"/>
                <w:i/>
                <w:color w:val="002060"/>
                <w:szCs w:val="20"/>
              </w:rPr>
              <w:t>Some trees keep their leaves all year while other trees drop their leaves during autumn and grow them again during spring.</w:t>
            </w:r>
          </w:p>
        </w:tc>
      </w:tr>
      <w:tr w:rsidR="002D558C" w14:paraId="38A51495" w14:textId="77777777" w:rsidTr="002520AD">
        <w:tc>
          <w:tcPr>
            <w:tcW w:w="2122" w:type="dxa"/>
          </w:tcPr>
          <w:p w14:paraId="2F45970C" w14:textId="77777777" w:rsidR="002D558C" w:rsidRDefault="002D558C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</w:tcPr>
          <w:p w14:paraId="1BC0615B" w14:textId="77777777" w:rsidR="00E65B74" w:rsidRPr="00E65B74" w:rsidRDefault="005B4B83" w:rsidP="00E65B74">
            <w:pPr>
              <w:rPr>
                <w:color w:val="002060"/>
              </w:rPr>
            </w:pPr>
            <w:r>
              <w:rPr>
                <w:color w:val="002060"/>
              </w:rPr>
              <w:t xml:space="preserve">- </w:t>
            </w:r>
            <w:r w:rsidR="00E65B74" w:rsidRPr="00E65B74">
              <w:rPr>
                <w:color w:val="002060"/>
              </w:rPr>
              <w:t xml:space="preserve">plants are flowering plants grown in pots with coloured petals and leaves and a stem </w:t>
            </w:r>
          </w:p>
          <w:p w14:paraId="3E63AA2A" w14:textId="77777777" w:rsidR="00E65B74" w:rsidRPr="00E65B74" w:rsidRDefault="00E65B74" w:rsidP="00E65B74">
            <w:pPr>
              <w:rPr>
                <w:color w:val="002060"/>
              </w:rPr>
            </w:pPr>
            <w:r w:rsidRPr="00E65B74">
              <w:rPr>
                <w:color w:val="002060"/>
              </w:rPr>
              <w:t xml:space="preserve">- trees are not plants </w:t>
            </w:r>
          </w:p>
          <w:p w14:paraId="1083D963" w14:textId="77777777" w:rsidR="00E65B74" w:rsidRPr="00E65B74" w:rsidRDefault="00E65B74" w:rsidP="00E65B74">
            <w:pPr>
              <w:rPr>
                <w:color w:val="002060"/>
              </w:rPr>
            </w:pPr>
            <w:r w:rsidRPr="00E65B74">
              <w:rPr>
                <w:color w:val="002060"/>
              </w:rPr>
              <w:t xml:space="preserve">- all leaves are green </w:t>
            </w:r>
          </w:p>
          <w:p w14:paraId="2D37736C" w14:textId="77777777" w:rsidR="00E65B74" w:rsidRPr="00E65B74" w:rsidRDefault="00E65B74" w:rsidP="00E65B74">
            <w:pPr>
              <w:rPr>
                <w:color w:val="002060"/>
              </w:rPr>
            </w:pPr>
            <w:r w:rsidRPr="00E65B74">
              <w:rPr>
                <w:color w:val="002060"/>
              </w:rPr>
              <w:t>-</w:t>
            </w:r>
            <w:r w:rsidR="005B4B83">
              <w:rPr>
                <w:color w:val="002060"/>
              </w:rPr>
              <w:t xml:space="preserve"> </w:t>
            </w:r>
            <w:r w:rsidRPr="00E65B74">
              <w:rPr>
                <w:color w:val="002060"/>
              </w:rPr>
              <w:t xml:space="preserve">all stems are green </w:t>
            </w:r>
          </w:p>
          <w:p w14:paraId="4353C283" w14:textId="77777777" w:rsidR="00E65B74" w:rsidRPr="00E65B74" w:rsidRDefault="00E65B74" w:rsidP="00E65B74">
            <w:pPr>
              <w:rPr>
                <w:color w:val="002060"/>
              </w:rPr>
            </w:pPr>
            <w:r w:rsidRPr="00E65B74">
              <w:rPr>
                <w:color w:val="002060"/>
              </w:rPr>
              <w:t>-</w:t>
            </w:r>
            <w:r w:rsidR="005B4B83">
              <w:rPr>
                <w:color w:val="002060"/>
              </w:rPr>
              <w:t xml:space="preserve"> </w:t>
            </w:r>
            <w:r w:rsidRPr="00E65B74">
              <w:rPr>
                <w:color w:val="002060"/>
              </w:rPr>
              <w:t xml:space="preserve">a trunk is not a stem </w:t>
            </w:r>
          </w:p>
          <w:p w14:paraId="7F59F1FB" w14:textId="77777777" w:rsidR="002D558C" w:rsidRPr="00E65B74" w:rsidRDefault="00E65B74" w:rsidP="00E65B74">
            <w:pPr>
              <w:rPr>
                <w:i/>
                <w:color w:val="002060"/>
              </w:rPr>
            </w:pPr>
            <w:r w:rsidRPr="00E65B74">
              <w:rPr>
                <w:color w:val="002060"/>
              </w:rPr>
              <w:t>-</w:t>
            </w:r>
            <w:r w:rsidR="005B4B83">
              <w:rPr>
                <w:color w:val="002060"/>
              </w:rPr>
              <w:t xml:space="preserve"> </w:t>
            </w:r>
            <w:r w:rsidRPr="00E65B74">
              <w:rPr>
                <w:color w:val="002060"/>
              </w:rPr>
              <w:t>blossom is not a flower.</w:t>
            </w:r>
          </w:p>
        </w:tc>
      </w:tr>
    </w:tbl>
    <w:p w14:paraId="30136F46" w14:textId="77777777" w:rsidR="00B8306F" w:rsidRDefault="00321FEB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0A5C" w14:textId="77777777" w:rsidR="00321FEB" w:rsidRDefault="00321FEB" w:rsidP="00911FFF">
      <w:pPr>
        <w:spacing w:after="0" w:line="240" w:lineRule="auto"/>
      </w:pPr>
      <w:r>
        <w:separator/>
      </w:r>
    </w:p>
  </w:endnote>
  <w:endnote w:type="continuationSeparator" w:id="0">
    <w:p w14:paraId="21784D4A" w14:textId="77777777" w:rsidR="00321FEB" w:rsidRDefault="00321FEB" w:rsidP="00911FFF">
      <w:pPr>
        <w:spacing w:after="0" w:line="240" w:lineRule="auto"/>
      </w:pPr>
      <w:r>
        <w:continuationSeparator/>
      </w:r>
    </w:p>
  </w:endnote>
  <w:endnote w:type="continuationNotice" w:id="1">
    <w:p w14:paraId="08333923" w14:textId="77777777" w:rsidR="00321FEB" w:rsidRDefault="00321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8A07" w14:textId="77777777" w:rsidR="00321FEB" w:rsidRDefault="00321FEB" w:rsidP="00911FFF">
      <w:pPr>
        <w:spacing w:after="0" w:line="240" w:lineRule="auto"/>
      </w:pPr>
      <w:r>
        <w:separator/>
      </w:r>
    </w:p>
  </w:footnote>
  <w:footnote w:type="continuationSeparator" w:id="0">
    <w:p w14:paraId="66515EDE" w14:textId="77777777" w:rsidR="00321FEB" w:rsidRDefault="00321FEB" w:rsidP="00911FFF">
      <w:pPr>
        <w:spacing w:after="0" w:line="240" w:lineRule="auto"/>
      </w:pPr>
      <w:r>
        <w:continuationSeparator/>
      </w:r>
    </w:p>
  </w:footnote>
  <w:footnote w:type="continuationNotice" w:id="1">
    <w:p w14:paraId="62F2A3A7" w14:textId="77777777" w:rsidR="00321FEB" w:rsidRDefault="00321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F0A0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27EA0B" wp14:editId="614A78D8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5C72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010ACFF0" wp14:editId="16D7D905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521054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1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55E91"/>
    <w:rsid w:val="00267A41"/>
    <w:rsid w:val="002A47C8"/>
    <w:rsid w:val="002A5BF7"/>
    <w:rsid w:val="002D558C"/>
    <w:rsid w:val="00307FDE"/>
    <w:rsid w:val="00320BC5"/>
    <w:rsid w:val="00321FEB"/>
    <w:rsid w:val="00327BA8"/>
    <w:rsid w:val="0035160A"/>
    <w:rsid w:val="00380C20"/>
    <w:rsid w:val="003A48D8"/>
    <w:rsid w:val="003B4C25"/>
    <w:rsid w:val="003C06D2"/>
    <w:rsid w:val="003E2EC1"/>
    <w:rsid w:val="00401B17"/>
    <w:rsid w:val="004425A1"/>
    <w:rsid w:val="004522BD"/>
    <w:rsid w:val="004F703A"/>
    <w:rsid w:val="00544740"/>
    <w:rsid w:val="0054537A"/>
    <w:rsid w:val="0054654E"/>
    <w:rsid w:val="00563217"/>
    <w:rsid w:val="00570768"/>
    <w:rsid w:val="00571332"/>
    <w:rsid w:val="00573DA5"/>
    <w:rsid w:val="00587D55"/>
    <w:rsid w:val="00593B62"/>
    <w:rsid w:val="005943E2"/>
    <w:rsid w:val="00594ADC"/>
    <w:rsid w:val="00595ADD"/>
    <w:rsid w:val="005A0223"/>
    <w:rsid w:val="005A0BAC"/>
    <w:rsid w:val="005B38E0"/>
    <w:rsid w:val="005B4B83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45B21"/>
    <w:rsid w:val="0067257D"/>
    <w:rsid w:val="006A7713"/>
    <w:rsid w:val="006F41AF"/>
    <w:rsid w:val="00724E06"/>
    <w:rsid w:val="007A2159"/>
    <w:rsid w:val="007B1DDA"/>
    <w:rsid w:val="007B1EBE"/>
    <w:rsid w:val="007D4632"/>
    <w:rsid w:val="007E3F4E"/>
    <w:rsid w:val="008219E0"/>
    <w:rsid w:val="00865D93"/>
    <w:rsid w:val="00895955"/>
    <w:rsid w:val="00896559"/>
    <w:rsid w:val="008A2311"/>
    <w:rsid w:val="008C0075"/>
    <w:rsid w:val="008E1732"/>
    <w:rsid w:val="00905B62"/>
    <w:rsid w:val="00911FFF"/>
    <w:rsid w:val="00940C47"/>
    <w:rsid w:val="00950176"/>
    <w:rsid w:val="0095074F"/>
    <w:rsid w:val="00980006"/>
    <w:rsid w:val="00980FA1"/>
    <w:rsid w:val="009815C4"/>
    <w:rsid w:val="009C270D"/>
    <w:rsid w:val="00A226FA"/>
    <w:rsid w:val="00A52B58"/>
    <w:rsid w:val="00A936DE"/>
    <w:rsid w:val="00AA632E"/>
    <w:rsid w:val="00AE66E1"/>
    <w:rsid w:val="00B026EB"/>
    <w:rsid w:val="00B26B8E"/>
    <w:rsid w:val="00B40260"/>
    <w:rsid w:val="00B5100D"/>
    <w:rsid w:val="00B520C3"/>
    <w:rsid w:val="00B64CE5"/>
    <w:rsid w:val="00B76499"/>
    <w:rsid w:val="00B90601"/>
    <w:rsid w:val="00BA40C0"/>
    <w:rsid w:val="00BE35E5"/>
    <w:rsid w:val="00BE6969"/>
    <w:rsid w:val="00C03257"/>
    <w:rsid w:val="00C10E4B"/>
    <w:rsid w:val="00C23FAF"/>
    <w:rsid w:val="00C4682A"/>
    <w:rsid w:val="00C60EAC"/>
    <w:rsid w:val="00C61AE7"/>
    <w:rsid w:val="00C72773"/>
    <w:rsid w:val="00C735F0"/>
    <w:rsid w:val="00C753AF"/>
    <w:rsid w:val="00C96E6E"/>
    <w:rsid w:val="00CA40AC"/>
    <w:rsid w:val="00CE4F2C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00AF6"/>
    <w:rsid w:val="00E416C0"/>
    <w:rsid w:val="00E51CB4"/>
    <w:rsid w:val="00E55916"/>
    <w:rsid w:val="00E57071"/>
    <w:rsid w:val="00E60B24"/>
    <w:rsid w:val="00E65B74"/>
    <w:rsid w:val="00E673D6"/>
    <w:rsid w:val="00E82823"/>
    <w:rsid w:val="00E844D8"/>
    <w:rsid w:val="00E915D9"/>
    <w:rsid w:val="00EB26BF"/>
    <w:rsid w:val="00EB2953"/>
    <w:rsid w:val="00EB5F66"/>
    <w:rsid w:val="00ED7700"/>
    <w:rsid w:val="00EE3077"/>
    <w:rsid w:val="00F21B84"/>
    <w:rsid w:val="00F35E2B"/>
    <w:rsid w:val="00F409FD"/>
    <w:rsid w:val="00F703E1"/>
    <w:rsid w:val="00F845D2"/>
    <w:rsid w:val="00F908CD"/>
    <w:rsid w:val="00F951AA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08526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15</cp:revision>
  <dcterms:created xsi:type="dcterms:W3CDTF">2021-07-06T10:44:00Z</dcterms:created>
  <dcterms:modified xsi:type="dcterms:W3CDTF">2023-11-15T14:49:00Z</dcterms:modified>
</cp:coreProperties>
</file>